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III — Security Operations</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bookmarkStart w:id="10" w:name="volume-purpose"/>
    <w:p>
      <w:pPr>
        <w:pStyle w:val="Heading1"/>
      </w:pPr>
      <w:r>
        <w:t xml:space="preserve">Volume Purpose</w:t>
      </w:r>
    </w:p>
    <w:p>
      <w:pPr>
        <w:pStyle w:val="FirstParagraph"/>
      </w:pPr>
      <w:r>
        <w:rPr>
          <w:b/>
          <w:bCs/>
        </w:rPr>
        <w:t xml:space="preserve">Volume III is where the series’ operational security planes live — and where</w:t>
      </w:r>
      <w:r>
        <w:rPr>
          <w:b/>
          <w:bCs/>
        </w:rPr>
        <w:t xml:space="preserve"> </w:t>
      </w:r>
      <w:r>
        <w:rPr>
          <w:b/>
          <w:bCs/>
        </w:rPr>
        <w:t xml:space="preserve">the Management-Plane Coordination Doctrine (Vol 0 Book 00, Executive Summary) is</w:t>
      </w:r>
      <w:r>
        <w:rPr>
          <w:b/>
          <w:bCs/>
        </w:rPr>
        <w:t xml:space="preserve"> </w:t>
      </w:r>
      <w:r>
        <w:rPr>
          <w:b/>
          <w:bCs/>
        </w:rPr>
        <w:t xml:space="preserve">realized.</w:t>
      </w:r>
      <w:r>
        <w:t xml:space="preserve"> </w:t>
      </w:r>
      <w:r>
        <w:t xml:space="preserve">The doctrine’s split runs through every book here:</w:t>
      </w:r>
      <w:r>
        <w:t xml:space="preserve"> </w:t>
      </w:r>
      <w:r>
        <w:rPr>
          <w:b/>
          <w:bCs/>
        </w:rPr>
        <w:t xml:space="preserve">actuation is</w:t>
      </w:r>
      <w:r>
        <w:rPr>
          <w:b/>
          <w:bCs/>
        </w:rPr>
        <w:t xml:space="preserve"> </w:t>
      </w:r>
      <w:r>
        <w:rPr>
          <w:b/>
          <w:bCs/>
        </w:rPr>
        <w:t xml:space="preserve">platform-native</w:t>
      </w:r>
      <w:r>
        <w:t xml:space="preserve"> </w:t>
      </w:r>
      <w:r>
        <w:t xml:space="preserve">(privileged access, patching, and posture are</w:t>
      </w:r>
      <w:r>
        <w:t xml:space="preserve"> </w:t>
      </w:r>
      <w:r>
        <w:t xml:space="preserve">performed by each platform’s own stack), while</w:t>
      </w:r>
      <w:r>
        <w:t xml:space="preserve"> </w:t>
      </w:r>
      <w:r>
        <w:rPr>
          <w:b/>
          <w:bCs/>
        </w:rPr>
        <w:t xml:space="preserve">governance and evidence are</w:t>
      </w:r>
      <w:r>
        <w:rPr>
          <w:b/>
          <w:bCs/>
        </w:rPr>
        <w:t xml:space="preserve"> </w:t>
      </w:r>
      <w:r>
        <w:rPr>
          <w:b/>
          <w:bCs/>
        </w:rPr>
        <w:t xml:space="preserve">unified</w:t>
      </w:r>
      <w:r>
        <w:t xml:space="preserve"> </w:t>
      </w:r>
      <w:r>
        <w:t xml:space="preserve">into one machine-readable contract that flows to CISA CDM and the</w:t>
      </w:r>
      <w:r>
        <w:t xml:space="preserve"> </w:t>
      </w:r>
      <w:r>
        <w:t xml:space="preserve">FedRAMP 20x KSI pipeline.</w:t>
      </w:r>
    </w:p>
    <w:p>
      <w:pPr>
        <w:pStyle w:val="BodyText"/>
      </w:pPr>
      <w:r>
        <w:t xml:space="preserve">This is the volume that answers, for a genuinely multi-cloud federal estate, the</w:t>
      </w:r>
      <w:r>
        <w:t xml:space="preserve"> </w:t>
      </w:r>
      <w:r>
        <w:t xml:space="preserve">question the doctrine poses:</w:t>
      </w:r>
      <w:r>
        <w:t xml:space="preserve"> </w:t>
      </w:r>
      <w:r>
        <w:rPr>
          <w:i/>
          <w:iCs/>
        </w:rPr>
        <w:t xml:space="preserve">not</w:t>
      </w:r>
      <w:r>
        <w:rPr>
          <w:i/>
          <w:iCs/>
        </w:rPr>
        <w:t xml:space="preserve"> </w:t>
      </w:r>
      <w:r>
        <w:rPr>
          <w:i/>
          <w:iCs/>
        </w:rPr>
        <w:t xml:space="preserve">“which single console runs everything,”</w:t>
      </w:r>
      <w:r>
        <w:rPr>
          <w:i/>
          <w:iCs/>
        </w:rPr>
        <w:t xml:space="preserve"> </w:t>
      </w:r>
      <w:r>
        <w:rPr>
          <w:i/>
          <w:iCs/>
        </w:rPr>
        <w:t xml:space="preserve">but</w:t>
      </w:r>
      <w:r>
        <w:rPr>
          <w:i/>
          <w:iCs/>
        </w:rPr>
        <w:t xml:space="preserve"> </w:t>
      </w:r>
      <w:r>
        <w:rPr>
          <w:i/>
          <w:iCs/>
        </w:rPr>
        <w:t xml:space="preserve">“which native stack actuates, and how does its evidence join the one compliance</w:t>
      </w:r>
      <w:r>
        <w:rPr>
          <w:i/>
          <w:iCs/>
        </w:rPr>
        <w:t xml:space="preserve"> </w:t>
      </w:r>
      <w:r>
        <w:rPr>
          <w:i/>
          <w:iCs/>
        </w:rPr>
        <w:t xml:space="preserve">picture.”</w:t>
      </w:r>
      <w:r>
        <w:t xml:space="preserve"> </w:t>
      </w:r>
      <w:r>
        <w:t xml:space="preserve">The Multi-Cloud Evidence Fabric closes that loop; the other books</w:t>
      </w:r>
      <w:r>
        <w:t xml:space="preserve"> </w:t>
      </w:r>
      <w:r>
        <w:t xml:space="preserve">feed it.</w:t>
      </w:r>
    </w:p>
    <w:bookmarkEnd w:id="10"/>
    <w:bookmarkStart w:id="11" w:name="books-in-this-volume"/>
    <w:p>
      <w:pPr>
        <w:pStyle w:val="Heading1"/>
      </w:pPr>
      <w:r>
        <w:t xml:space="preserve">Books in This Volume</w:t>
      </w:r>
    </w:p>
    <w:p>
      <w:pPr>
        <w:pStyle w:val="TableCaption"/>
      </w:pPr>
      <w:r>
        <w:t xml:space="preserve">Volume III — Security Operations</w:t>
      </w:r>
    </w:p>
    <w:tbl>
      <w:tblPr>
        <w:tblStyle w:val="Table"/>
        <w:tblW w:type="pct" w:w="5000"/>
        <w:tblLayout w:type="fixed"/>
        <w:tblLook w:firstRow="1" w:lastRow="0" w:firstColumn="0" w:lastColumn="0" w:noHBand="0" w:noVBand="0" w:val="0020"/>
        <w:tblCaption w:val="Volume III — Security Operations"/>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III Book 01</w:t>
            </w:r>
          </w:p>
        </w:tc>
        <w:tc>
          <w:tcPr/>
          <w:p>
            <w:pPr>
              <w:pStyle w:val="Compact"/>
            </w:pPr>
            <w:r>
              <w:t xml:space="preserve">Privileged Access Management</w:t>
            </w:r>
          </w:p>
        </w:tc>
        <w:tc>
          <w:tcPr/>
          <w:p>
            <w:pPr>
              <w:pStyle w:val="Compact"/>
            </w:pPr>
            <w:r>
              <w:t xml:space="preserve">Least privilege across clouds — Entra PIM, SailPoint, CyberArk, AWS/OCI IAM</w:t>
            </w:r>
          </w:p>
        </w:tc>
      </w:tr>
      <w:tr>
        <w:tc>
          <w:tcPr/>
          <w:p>
            <w:pPr>
              <w:pStyle w:val="Compact"/>
            </w:pPr>
            <w:r>
              <w:rPr>
                <w:b/>
                <w:bCs/>
              </w:rPr>
              <w:t xml:space="preserve">Vol III Book 02</w:t>
            </w:r>
          </w:p>
        </w:tc>
        <w:tc>
          <w:tcPr/>
          <w:p>
            <w:pPr>
              <w:pStyle w:val="Compact"/>
            </w:pPr>
            <w:r>
              <w:t xml:space="preserve">Vulnerability Management</w:t>
            </w:r>
          </w:p>
        </w:tc>
        <w:tc>
          <w:tcPr/>
          <w:p>
            <w:pPr>
              <w:pStyle w:val="Compact"/>
            </w:pPr>
            <w:r>
              <w:t xml:space="preserve">Assessment &amp; prioritization — RA-5, CISA KEV, risk-based SLAs (the</w:t>
            </w:r>
            <w:r>
              <w:t xml:space="preserve"> </w:t>
            </w:r>
            <w:r>
              <w:rPr>
                <w:i/>
                <w:iCs/>
              </w:rPr>
              <w:t xml:space="preserve">scan</w:t>
            </w:r>
            <w:r>
              <w:t xml:space="preserve"> </w:t>
            </w:r>
            <w:r>
              <w:t xml:space="preserve">half)</w:t>
            </w:r>
          </w:p>
        </w:tc>
      </w:tr>
      <w:tr>
        <w:tc>
          <w:tcPr/>
          <w:p>
            <w:pPr>
              <w:pStyle w:val="Compact"/>
            </w:pPr>
            <w:r>
              <w:rPr>
                <w:b/>
                <w:bCs/>
              </w:rPr>
              <w:t xml:space="preserve">Vol III Book 03</w:t>
            </w:r>
          </w:p>
        </w:tc>
        <w:tc>
          <w:tcPr/>
          <w:p>
            <w:pPr>
              <w:pStyle w:val="Compact"/>
            </w:pPr>
            <w:r>
              <w:t xml:space="preserve">Patch &amp; Systems Management</w:t>
            </w:r>
          </w:p>
        </w:tc>
        <w:tc>
          <w:tcPr/>
          <w:p>
            <w:pPr>
              <w:pStyle w:val="Compact"/>
            </w:pPr>
            <w:r>
              <w:t xml:space="preserve">Remediation actuation across CSP × OS — SI-2 (the</w:t>
            </w:r>
            <w:r>
              <w:t xml:space="preserve"> </w:t>
            </w:r>
            <w:r>
              <w:rPr>
                <w:i/>
                <w:iCs/>
              </w:rPr>
              <w:t xml:space="preserve">close-it</w:t>
            </w:r>
            <w:r>
              <w:t xml:space="preserve"> </w:t>
            </w:r>
            <w:r>
              <w:t xml:space="preserve">half)</w:t>
            </w:r>
          </w:p>
        </w:tc>
      </w:tr>
      <w:tr>
        <w:tc>
          <w:tcPr/>
          <w:p>
            <w:pPr>
              <w:pStyle w:val="Compact"/>
            </w:pPr>
            <w:r>
              <w:rPr>
                <w:b/>
                <w:bCs/>
              </w:rPr>
              <w:t xml:space="preserve">Vol III Book 04</w:t>
            </w:r>
          </w:p>
        </w:tc>
        <w:tc>
          <w:tcPr/>
          <w:p>
            <w:pPr>
              <w:pStyle w:val="Compact"/>
            </w:pPr>
            <w:r>
              <w:t xml:space="preserve">Cloud-Native Security Posture &amp; Containers</w:t>
            </w:r>
          </w:p>
        </w:tc>
        <w:tc>
          <w:tcPr/>
          <w:p>
            <w:pPr>
              <w:pStyle w:val="Compact"/>
            </w:pPr>
            <w:r>
              <w:t xml:space="preserve">CSPM / CNAPP / Kubernetes — misconfiguration, exposure, runtime</w:t>
            </w:r>
          </w:p>
        </w:tc>
      </w:tr>
      <w:tr>
        <w:tc>
          <w:tcPr/>
          <w:p>
            <w:pPr>
              <w:pStyle w:val="Compact"/>
            </w:pPr>
            <w:r>
              <w:rPr>
                <w:b/>
                <w:bCs/>
              </w:rPr>
              <w:t xml:space="preserve">Vol III Book 05</w:t>
            </w:r>
          </w:p>
        </w:tc>
        <w:tc>
          <w:tcPr/>
          <w:p>
            <w:pPr>
              <w:pStyle w:val="Compact"/>
            </w:pPr>
            <w:r>
              <w:t xml:space="preserve">Data Protection (Purview)</w:t>
            </w:r>
          </w:p>
        </w:tc>
        <w:tc>
          <w:tcPr/>
          <w:p>
            <w:pPr>
              <w:pStyle w:val="Compact"/>
            </w:pPr>
            <w:r>
              <w:t xml:space="preserve">Classification, DLP, and multi-cloud key management (SC-12/13/28)</w:t>
            </w:r>
          </w:p>
        </w:tc>
      </w:tr>
      <w:tr>
        <w:tc>
          <w:tcPr/>
          <w:p>
            <w:pPr>
              <w:pStyle w:val="Compact"/>
            </w:pPr>
            <w:r>
              <w:rPr>
                <w:b/>
                <w:bCs/>
              </w:rPr>
              <w:t xml:space="preserve">Vol III Book 06</w:t>
            </w:r>
          </w:p>
        </w:tc>
        <w:tc>
          <w:tcPr/>
          <w:p>
            <w:pPr>
              <w:pStyle w:val="Compact"/>
            </w:pPr>
            <w:r>
              <w:t xml:space="preserve">SIEM / XDR Detection</w:t>
            </w:r>
          </w:p>
        </w:tc>
        <w:tc>
          <w:tcPr/>
          <w:p>
            <w:pPr>
              <w:pStyle w:val="Compact"/>
            </w:pPr>
            <w:r>
              <w:t xml:space="preserve">Detection engineering — analytics and response over the evidence lake</w:t>
            </w:r>
          </w:p>
        </w:tc>
      </w:tr>
      <w:tr>
        <w:tc>
          <w:tcPr/>
          <w:p>
            <w:pPr>
              <w:pStyle w:val="Compact"/>
            </w:pPr>
            <w:r>
              <w:rPr>
                <w:b/>
                <w:bCs/>
              </w:rPr>
              <w:t xml:space="preserve">Vol III Book 07</w:t>
            </w:r>
          </w:p>
        </w:tc>
        <w:tc>
          <w:tcPr/>
          <w:p>
            <w:pPr>
              <w:pStyle w:val="Compact"/>
            </w:pPr>
            <w:r>
              <w:t xml:space="preserve">Multi-Cloud Evidence Fabric</w:t>
            </w:r>
          </w:p>
        </w:tc>
        <w:tc>
          <w:tcPr/>
          <w:p>
            <w:pPr>
              <w:pStyle w:val="Compact"/>
            </w:pPr>
            <w:r>
              <w:t xml:space="preserve">The coordination home — every source’s record → one lake → CDM → KSI</w:t>
            </w:r>
          </w:p>
        </w:tc>
      </w:tr>
    </w:tbl>
    <w:bookmarkEnd w:id="11"/>
    <w:bookmarkStart w:id="12" w:name="how-this-volume-fits-the-program"/>
    <w:p>
      <w:pPr>
        <w:pStyle w:val="Heading1"/>
      </w:pPr>
      <w:r>
        <w:t xml:space="preserve">How This Volume Fits the Program</w:t>
      </w:r>
    </w:p>
    <w:p>
      <w:pPr>
        <w:pStyle w:val="FirstParagraph"/>
      </w:pPr>
      <w:r>
        <w:t xml:space="preserve">Volume III</w:t>
      </w:r>
      <w:r>
        <w:t xml:space="preserve"> </w:t>
      </w:r>
      <w:r>
        <w:rPr>
          <w:b/>
          <w:bCs/>
        </w:rPr>
        <w:t xml:space="preserve">depends on</w:t>
      </w:r>
      <w:r>
        <w:t xml:space="preserve"> </w:t>
      </w:r>
      <w:r>
        <w:t xml:space="preserve">Volume I’s naming-plane join key (Vol I Book 01, CM-8)</w:t>
      </w:r>
      <w:r>
        <w:t xml:space="preserve"> </w:t>
      </w:r>
      <w:r>
        <w:t xml:space="preserve">— without one authoritative asset identity, five stacks produce five inventories</w:t>
      </w:r>
      <w:r>
        <w:t xml:space="preserve"> </w:t>
      </w:r>
      <w:r>
        <w:t xml:space="preserve">that cannot be reconciled. It</w:t>
      </w:r>
      <w:r>
        <w:t xml:space="preserve"> </w:t>
      </w:r>
      <w:r>
        <w:rPr>
          <w:b/>
          <w:bCs/>
        </w:rPr>
        <w:t xml:space="preserve">produces</w:t>
      </w:r>
      <w:r>
        <w:t xml:space="preserve"> </w:t>
      </w:r>
      <w:r>
        <w:t xml:space="preserve">the correlated, machine-readable</w:t>
      </w:r>
      <w:r>
        <w:t xml:space="preserve"> </w:t>
      </w:r>
      <w:r>
        <w:t xml:space="preserve">evidence stream (Vol III Book 07) that Volume IV’s Authorization Package &amp; ConMon</w:t>
      </w:r>
      <w:r>
        <w:t xml:space="preserve"> </w:t>
      </w:r>
      <w:r>
        <w:t xml:space="preserve">book (Vol IV Book 06) freezes into the OSCAL bundle. Truth is separated from</w:t>
      </w:r>
      <w:r>
        <w:t xml:space="preserve"> </w:t>
      </w:r>
      <w:r>
        <w:t xml:space="preserve">enforcement throughout: the evidence fabric is a truth plane, depended on; the</w:t>
      </w:r>
      <w:r>
        <w:t xml:space="preserve"> </w:t>
      </w:r>
      <w:r>
        <w:t xml:space="preserve">actuation stacks are enforcement planes, re-platformable per vendor.</w:t>
      </w:r>
    </w:p>
    <w:bookmarkEnd w:id="12"/>
    <w:bookmarkStart w:id="14"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3"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3"/>
    <w:p>
      <w:pPr>
        <w:pStyle w:val="BodyText"/>
      </w:pPr>
      <w:r>
        <w:rPr>
          <w:b/>
          <w:bCs/>
        </w:rPr>
        <w:t xml:space="preserve">Series Context</w:t>
      </w:r>
      <w:r>
        <w:t xml:space="preserve"> </w:t>
      </w:r>
      <w:r>
        <w:t xml:space="preserve">— This document is Vol III Book 01 (Privileged Access Management)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This part addresses the privileged access layer — the administrative credential surface that remains exploitable even after all token-based authentication controls from the Volume I and Volume II books are in place.</w:t>
      </w:r>
    </w:p>
    <w:bookmarkEnd w:id="14"/>
    <w:bookmarkStart w:id="15" w:name="what-this-document-addresses"/>
    <w:p>
      <w:pPr>
        <w:pStyle w:val="Heading1"/>
      </w:pPr>
      <w:r>
        <w:t xml:space="preserve">What This Document Addresses</w:t>
      </w:r>
    </w:p>
    <w:p>
      <w:pPr>
        <w:pStyle w:val="FirstParagraph"/>
      </w:pPr>
      <w:r>
        <w:t xml:space="preserve">The Volume I network-and-identity books and the Volume II database books replaced password-hash authentication with Managed Identity tokens, eliminated NTLM from SQL Server connections, removed standing service account credentials from application connection strings, and established Arc as the identity bridge for hybrid server workloads. Each of those changes materially reduced the attack surface for credential theft and lateral movement.</w:t>
      </w:r>
    </w:p>
    <w:p>
      <w:pPr>
        <w:pStyle w:val="BodyText"/>
      </w:pPr>
      <w:r>
        <w:t xml:space="preserve">They did not eliminate it.</w:t>
      </w:r>
    </w:p>
    <w:p>
      <w:pPr>
        <w:pStyle w:val="BodyText"/>
      </w:pPr>
      <w:r>
        <w:t xml:space="preserve">The residual risk is not in service accounts or application credentials — those are now credential-free or token-gated. The residual risk is in</w:t>
      </w:r>
      <w:r>
        <w:t xml:space="preserve"> </w:t>
      </w:r>
      <w:r>
        <w:rPr>
          <w:i/>
          <w:iCs/>
        </w:rPr>
        <w:t xml:space="preserve">administrative accounts</w:t>
      </w:r>
      <w:r>
        <w:t xml:space="preserve">: the identities that hold Global Administrator, Privileged Role Administrator, server local Administrator, and equivalent standing roles. A standard user account that has been compromised can escalate to standing admin through credential reuse, social engineering, or MFA bypass — and once it does, every token-gated control in the environment is irrelevant. The attacker is now the admin.</w:t>
      </w:r>
    </w:p>
    <w:p>
      <w:pPr>
        <w:pStyle w:val="BodyText"/>
      </w:pPr>
      <w:r>
        <w:t xml:space="preserve">Standing privilege is the structural problem.</w:t>
      </w:r>
      <w:r>
        <w:t xml:space="preserve"> </w:t>
      </w:r>
      <w:r>
        <w:t xml:space="preserve">“Standing”</w:t>
      </w:r>
      <w:r>
        <w:t xml:space="preserve"> </w:t>
      </w:r>
      <w:r>
        <w:t xml:space="preserve">means the role is always active. A Global Administrator account is always a Global Administrator, 24 hours per day, whether the holder is actively performing administrative work or not. Every minute that the role is active and the account is not in use is a minute where a compromised credential grants unrestricted tenant control. Across a federal environment operating 8,760 hours per year, a standing Global Administrator holds that scope for thousands of hours in which no administrative work is occurring.</w:t>
      </w:r>
    </w:p>
    <w:p>
      <w:pPr>
        <w:pStyle w:val="BodyText"/>
      </w:pPr>
      <w:r>
        <w:t xml:space="preserve">This document closes that gap through three mechanisms: Privileged Identity Management (PIM) for just-in-time role activation, Privileged Access Workstations (PAW) for device-scoped session trust, and session policy controls for re-authentication, session lock, and session termination. Together these mechanisms reduce the window of administrative exposure from continuous to bounded and auditable.</w:t>
      </w:r>
    </w:p>
    <w:p>
      <w:pPr>
        <w:pStyle w:val="BodyText"/>
      </w:pPr>
      <w:r>
        <w:rPr>
          <w:b/>
          <w:bCs/>
        </w:rPr>
        <w:t xml:space="preserve">Authentication vs. Authorization Scope</w:t>
      </w:r>
      <w:r>
        <w:t xml:space="preserve"> </w:t>
      </w:r>
      <w:r>
        <w:t xml:space="preserve">— Vol I Books 02–03 (Network Access Control and Certificates &amp; Tokens) and Vol II Books 01–02 (SQL Server Authentication Modernization and SQL Server Implementation Guide) addressed authentication quality: who is asserting this identity, and can we verify it cryptographically? This document addresses authorization scope: what can that verified identity do, and for how long? Both axes must be controlled. A strongly-authenticated identity with standing Global Admin scope is not a Zero Trust architecture — it is a strongly-authenticated standing target.</w:t>
      </w:r>
    </w:p>
    <w:bookmarkEnd w:id="15"/>
    <w:bookmarkStart w:id="19" w:name="the-standing-privilege-problem"/>
    <w:p>
      <w:pPr>
        <w:pStyle w:val="Heading1"/>
      </w:pPr>
      <w:r>
        <w:t xml:space="preserve">The Standing Privilege Problem</w:t>
      </w:r>
    </w:p>
    <w:bookmarkStart w:id="16" w:name="Xd3a60f78568d03bbde4109bfede25792c4de6c1"/>
    <w:p>
      <w:pPr>
        <w:pStyle w:val="Heading2"/>
      </w:pPr>
      <w:r>
        <w:t xml:space="preserve">What Standing Admin Access Means Structurally</w:t>
      </w:r>
    </w:p>
    <w:p>
      <w:pPr>
        <w:pStyle w:val="FirstParagraph"/>
      </w:pPr>
      <w:r>
        <w:t xml:space="preserve">Standing administrative access means a role assignment persists indefinitely in the directory. The user does not activate the role, does not present justification, does not require approver consent, and does not face a time limit on the scope. The role is always active.</w:t>
      </w:r>
    </w:p>
    <w:p>
      <w:pPr>
        <w:pStyle w:val="BodyText"/>
      </w:pPr>
      <w:r>
        <w:t xml:space="preserve">In practice this means:</w:t>
      </w:r>
    </w:p>
    <w:p>
      <w:pPr>
        <w:pStyle w:val="Compact"/>
        <w:numPr>
          <w:ilvl w:val="0"/>
          <w:numId w:val="1001"/>
        </w:numPr>
      </w:pPr>
      <w:r>
        <w:t xml:space="preserve">A compromised authentication token for a standing Global Admin grants Global Admin scope immediately, without any additional step.</w:t>
      </w:r>
    </w:p>
    <w:p>
      <w:pPr>
        <w:pStyle w:val="Compact"/>
        <w:numPr>
          <w:ilvl w:val="0"/>
          <w:numId w:val="1001"/>
        </w:numPr>
      </w:pPr>
      <w:r>
        <w:t xml:space="preserve">A successful MFA fatigue attack against a standing Privileged Role Administrator grants the ability to promote any account to any role.</w:t>
      </w:r>
    </w:p>
    <w:p>
      <w:pPr>
        <w:pStyle w:val="Compact"/>
        <w:numPr>
          <w:ilvl w:val="0"/>
          <w:numId w:val="1001"/>
        </w:numPr>
      </w:pPr>
      <w:r>
        <w:t xml:space="preserve">A session hijacking attack against a standing Security Administrator’s browser grants the ability to modify Conditional Access policies that protect the entire tenant.</w:t>
      </w:r>
    </w:p>
    <w:p>
      <w:pPr>
        <w:pStyle w:val="FirstParagraph"/>
      </w:pPr>
      <w:r>
        <w:t xml:space="preserve">The attack surface is not theoretical. CISA AA23-278A (Scattered Spider) and Microsoft’s September 2023 threat intelligence on Storm-0558 both document adversaries that specifically targeted standing Global Admin accounts. In both cases the attackers understood that once they held a standing admin identity, all other controls were downstream and therefore controllable by them.</w:t>
      </w:r>
    </w:p>
    <w:bookmarkEnd w:id="16"/>
    <w:bookmarkStart w:id="17" w:name="X1820991041c032d514ce13c2af977822ddee038"/>
    <w:p>
      <w:pPr>
        <w:pStyle w:val="Heading2"/>
      </w:pPr>
      <w:r>
        <w:t xml:space="preserve">Why Standing Privilege Survives After Entra Token Adoption</w:t>
      </w:r>
    </w:p>
    <w:p>
      <w:pPr>
        <w:pStyle w:val="FirstParagraph"/>
      </w:pPr>
      <w:r>
        <w:t xml:space="preserve">The Volume I and Volume II books deploy Entra ID authentication — Managed Identity tokens, Conditional Access, Entra-native OS login. These controls verify identity quality. They do not reduce role scope.</w:t>
      </w:r>
    </w:p>
    <w:p>
      <w:pPr>
        <w:pStyle w:val="BodyText"/>
      </w:pPr>
      <w:r>
        <w:t xml:space="preserve">A user who previously authenticated with NTLM and held Global Admin standing access now authenticates with an Entra ID token through Conditional Access with MFA — and still holds Global Admin standing access. The authentication is stronger. The authorization scope is unchanged.</w:t>
      </w:r>
    </w:p>
    <w:p>
      <w:pPr>
        <w:pStyle w:val="BodyText"/>
      </w:pPr>
      <w:r>
        <w:t xml:space="preserve">The confusion between authentication quality and authorization scope is common in federal migration programs. Programs declare</w:t>
      </w:r>
      <w:r>
        <w:t xml:space="preserve"> </w:t>
      </w:r>
      <w:r>
        <w:t xml:space="preserve">“we moved to Entra ID”</w:t>
      </w:r>
      <w:r>
        <w:t xml:space="preserve"> </w:t>
      </w:r>
      <w:r>
        <w:t xml:space="preserve">and treat the credential migration as the security outcome. It is a necessary precondition, not a sufficient outcome. Authorization scope reduction requires a distinct mechanism: PIM.</w:t>
      </w:r>
    </w:p>
    <w:bookmarkEnd w:id="17"/>
    <w:bookmarkStart w:id="18" w:name="Xf9e6daf1b34bf021916e30a128f36862b57d1d2"/>
    <w:p>
      <w:pPr>
        <w:pStyle w:val="Heading2"/>
      </w:pPr>
      <w:r>
        <w:t xml:space="preserve">Before and After: The Structural Comparison</w:t>
      </w:r>
    </w:p>
    <w:p>
      <w:pPr>
        <w:pStyle w:val="FirstParagraph"/>
      </w:pPr>
      <w:r>
        <w:rPr>
          <w:b/>
          <w:bCs/>
        </w:rPr>
        <w:t xml:space="preserve">Before this document</w:t>
      </w:r>
      <w:r>
        <w:t xml:space="preserve"> </w:t>
      </w:r>
      <w:r>
        <w:t xml:space="preserve">— a federal administrator holds standing Domain Admin and standing Global Admin simultaneously. The Domain Admin is backed by Kerberos/NTLM. The Global Admin is an always-active Entra ID role. Any compromise of the user’s Entra ID session grants Global Admin immediately with no additional step.</w:t>
      </w:r>
    </w:p>
    <w:p>
      <w:pPr>
        <w:pStyle w:val="BodyText"/>
      </w:pPr>
      <w:r>
        <w:rPr>
          <w:b/>
          <w:bCs/>
        </w:rPr>
        <w:t xml:space="preserve">After this document</w:t>
      </w:r>
      <w:r>
        <w:t xml:space="preserve"> </w:t>
      </w:r>
      <w:r>
        <w:t xml:space="preserve">— the same administrator holds no standing admin role. The Entra ID Global Admin assignment is</w:t>
      </w:r>
      <w:r>
        <w:t xml:space="preserve"> </w:t>
      </w:r>
      <w:r>
        <w:rPr>
          <w:i/>
          <w:iCs/>
        </w:rPr>
        <w:t xml:space="preserve">eligible</w:t>
      </w:r>
      <w:r>
        <w:t xml:space="preserve">, not</w:t>
      </w:r>
      <w:r>
        <w:t xml:space="preserve"> </w:t>
      </w:r>
      <w:r>
        <w:rPr>
          <w:i/>
          <w:iCs/>
        </w:rPr>
        <w:t xml:space="preserve">active</w:t>
      </w:r>
      <w:r>
        <w:t xml:space="preserve">. When the administrator needs to perform an administrative task, they request activation through PIM, present MFA, provide a justification, wait for approver consent (if configured), and receive a time-limited role token valid for 1–8 hours. When the window expires, the role deactivates automatically. A compromised session gives an attacker nothing beyond the standard user scope.</w:t>
      </w:r>
    </w:p>
    <w:p>
      <w:pPr>
        <w:pStyle w:val="BodyText"/>
      </w:pPr>
      <w:r>
        <w:rPr>
          <w:b/>
          <w:bCs/>
        </w:rPr>
        <w:t xml:space="preserve">Compliance Dependency</w:t>
      </w:r>
      <w:r>
        <w:t xml:space="preserve"> </w:t>
      </w:r>
      <w:r>
        <w:t xml:space="preserve">— OMB M-22-09 (Moving the U.S. Government Toward Zero Trust Cybersecurity Principles) requires agencies to implement least-privilege access controls and time-bound privilege. NIST SP 800-207 (Zero Trust Architecture) — an architecture publication, not an agency mandate — sets out in Tenet 2 that resource access is granted on a per-session basis rather than as standing entitlement. PIM is the Microsoft implementation of these principles. CMMC 2.0 Level 2 and FedRAMP Moderate both require AC-6 Least Privilege and AC-6(5) Privileged Accounts controls; PIM provides the enforcement mechanism agencies use to implement AC-6 and AC-6(5).</w:t>
      </w:r>
    </w:p>
    <w:bookmarkEnd w:id="18"/>
    <w:bookmarkEnd w:id="19"/>
    <w:bookmarkStart w:id="25" w:name="entra-pim-architecture"/>
    <w:p>
      <w:pPr>
        <w:pStyle w:val="Heading1"/>
      </w:pPr>
      <w:r>
        <w:t xml:space="preserve">Entra PIM Architecture</w:t>
      </w:r>
    </w:p>
    <w:bookmarkStart w:id="20" w:name="core-concepts-eligible-vs.-active"/>
    <w:p>
      <w:pPr>
        <w:pStyle w:val="Heading2"/>
      </w:pPr>
      <w:r>
        <w:t xml:space="preserve">Core Concepts: Eligible vs. Active</w:t>
      </w:r>
    </w:p>
    <w:p>
      <w:pPr>
        <w:pStyle w:val="FirstParagraph"/>
      </w:pPr>
      <w:r>
        <w:t xml:space="preserve">Privileged Identity Management (PIM) introduces two assignment states for directory roles:</w:t>
      </w:r>
    </w:p>
    <w:p>
      <w:pPr>
        <w:pStyle w:val="BodyText"/>
      </w:pPr>
      <w:r>
        <w:rPr>
          <w:b/>
          <w:bCs/>
        </w:rPr>
        <w:t xml:space="preserve">Active assignment</w:t>
      </w:r>
      <w:r>
        <w:t xml:space="preserve"> </w:t>
      </w:r>
      <w:r>
        <w:t xml:space="preserve">is the traditional state. The role is assigned and immediately effective. The user can exercise the role at any time without any additional step. Active assignments are appropriate for automated service principals and break-glass accounts. They are not appropriate for human administrators.</w:t>
      </w:r>
    </w:p>
    <w:p>
      <w:pPr>
        <w:pStyle w:val="BodyText"/>
      </w:pPr>
      <w:r>
        <w:rPr>
          <w:b/>
          <w:bCs/>
        </w:rPr>
        <w:t xml:space="preserve">Eligible assignment</w:t>
      </w:r>
      <w:r>
        <w:t xml:space="preserve"> </w:t>
      </w:r>
      <w:r>
        <w:t xml:space="preserve">is the PIM state. The role is assigned but not effective. The user must explicitly activate the role, satisfying configured requirements (MFA, justification, approver), to receive a time-limited active session. When the time window expires, the role returns to eligible-only. No persistent active scope exists between activations.</w:t>
      </w:r>
    </w:p>
    <w:p>
      <w:pPr>
        <w:pStyle w:val="BodyText"/>
      </w:pPr>
      <w:r>
        <w:t xml:space="preserve">The operational difference is decisive: an eligible assignment is worthless to an attacker who has compromised the user’s session but not completed the activation ceremony. An active assignment is immediately exploitable.</w:t>
      </w:r>
    </w:p>
    <w:bookmarkEnd w:id="20"/>
    <w:bookmarkStart w:id="21" w:name="pim-activation-flow"/>
    <w:p>
      <w:pPr>
        <w:pStyle w:val="Heading2"/>
      </w:pPr>
      <w:r>
        <w:t xml:space="preserve">PIM Activation Flow</w:t>
      </w:r>
    </w:p>
    <w:p>
      <w:pPr>
        <w:pStyle w:val="FirstParagraph"/>
      </w:pPr>
      <w:r>
        <w:t xml:space="preserve">The activation flow has five stages:</w:t>
      </w:r>
    </w:p>
    <w:p>
      <w:pPr>
        <w:numPr>
          <w:ilvl w:val="0"/>
          <w:numId w:val="1002"/>
        </w:numPr>
      </w:pPr>
      <w:r>
        <w:rPr>
          <w:b/>
          <w:bCs/>
        </w:rPr>
        <w:t xml:space="preserve">Request.</w:t>
      </w:r>
      <w:r>
        <w:t xml:space="preserve"> </w:t>
      </w:r>
      <w:r>
        <w:t xml:space="preserve">The user navigates to the Entra ID portal (My Access or the PIM blade) and submits an activation request. The request includes a justification text field (required) and a requested duration (1–8 hours, bounded by policy).</w:t>
      </w:r>
    </w:p>
    <w:p>
      <w:pPr>
        <w:numPr>
          <w:ilvl w:val="0"/>
          <w:numId w:val="1002"/>
        </w:numPr>
      </w:pPr>
      <w:r>
        <w:rPr>
          <w:b/>
          <w:bCs/>
        </w:rPr>
        <w:t xml:space="preserve">MFA enforcement.</w:t>
      </w:r>
      <w:r>
        <w:t xml:space="preserve"> </w:t>
      </w:r>
      <w:r>
        <w:t xml:space="preserve">Entra ID Conditional Access requires a fresh MFA proof at activation time, regardless of whether the user already completed MFA at session start. This is the IA-11 re-authentication requirement: a new privileged action requires a new authentication assertion.</w:t>
      </w:r>
    </w:p>
    <w:p>
      <w:pPr>
        <w:numPr>
          <w:ilvl w:val="0"/>
          <w:numId w:val="1002"/>
        </w:numPr>
      </w:pPr>
      <w:r>
        <w:rPr>
          <w:b/>
          <w:bCs/>
        </w:rPr>
        <w:t xml:space="preserve">Approver notification (optional).</w:t>
      </w:r>
      <w:r>
        <w:t xml:space="preserve"> </w:t>
      </w:r>
      <w:r>
        <w:t xml:space="preserve">If the role policy requires approver consent, a designated approver receives an email or Teams notification and must approve the request within a configured window (default 24 hours; for sensitive roles, configure 1–4 hours). If no approval is received within the window, the request expires and access is denied.</w:t>
      </w:r>
    </w:p>
    <w:p>
      <w:pPr>
        <w:numPr>
          <w:ilvl w:val="0"/>
          <w:numId w:val="1002"/>
        </w:numPr>
      </w:pPr>
      <w:r>
        <w:rPr>
          <w:b/>
          <w:bCs/>
        </w:rPr>
        <w:t xml:space="preserve">Time-limited activation.</w:t>
      </w:r>
      <w:r>
        <w:t xml:space="preserve"> </w:t>
      </w:r>
      <w:r>
        <w:t xml:space="preserve">Upon approval (or immediately if no approver is configured), the role becomes active for the requested duration. The user can now exercise Global Admin or equivalent scope. The expiration timestamp is fixed at activation time — it cannot be extended without a new activation request.</w:t>
      </w:r>
    </w:p>
    <w:p>
      <w:pPr>
        <w:numPr>
          <w:ilvl w:val="0"/>
          <w:numId w:val="1002"/>
        </w:numPr>
      </w:pPr>
      <w:r>
        <w:rPr>
          <w:b/>
          <w:bCs/>
        </w:rPr>
        <w:t xml:space="preserve">Automatic deactivation.</w:t>
      </w:r>
      <w:r>
        <w:t xml:space="preserve"> </w:t>
      </w:r>
      <w:r>
        <w:t xml:space="preserve">At expiration, the role returns to eligible-only automatically. No user action is required. No manual deactivation step can be forgotten.</w:t>
      </w:r>
    </w:p>
    <w:p>
      <w:pPr>
        <w:pStyle w:val="FirstParagraph"/>
      </w:pPr>
      <w:r>
        <w:t xml:space="preserve">Every stage generates an audit log entry in the Entra ID audit log under the</w:t>
      </w:r>
      <w:r>
        <w:t xml:space="preserve"> </w:t>
      </w:r>
      <w:r>
        <w:t xml:space="preserve">“PIM”</w:t>
      </w:r>
      <w:r>
        <w:t xml:space="preserve"> </w:t>
      </w:r>
      <w:r>
        <w:t xml:space="preserve">category. These entries are structured and queryable in Microsoft Sentinel (via the Microsoft Entra ID connector) and in Log Analytics.</w:t>
      </w:r>
    </w:p>
    <w:bookmarkEnd w:id="21"/>
    <w:bookmarkStart w:id="22" w:name="roles-to-protect-with-pim"/>
    <w:p>
      <w:pPr>
        <w:pStyle w:val="Heading2"/>
      </w:pPr>
      <w:r>
        <w:t xml:space="preserve">Roles to Protect with PIM</w:t>
      </w:r>
    </w:p>
    <w:p>
      <w:pPr>
        <w:pStyle w:val="FirstParagraph"/>
      </w:pPr>
      <w:r>
        <w:t xml:space="preserve">The following roles carry sufficient scope to control the entire Entra ID tenant or Azure subscription and must be converted to eligible-only. No human account should hold any of these as a standing active assignment.</w:t>
      </w:r>
    </w:p>
    <w:p>
      <w:pPr>
        <w:pStyle w:val="TableCaption"/>
      </w:pPr>
      <w:r>
        <w:t xml:space="preserve">Roles requiring PIM eligible-only assignment for all human accounts</w:t>
      </w:r>
    </w:p>
    <w:tbl>
      <w:tblPr>
        <w:tblStyle w:val="Table"/>
        <w:tblW w:type="pct" w:w="5000"/>
        <w:tblLayout w:type="fixed"/>
        <w:tblLook w:firstRow="1" w:lastRow="0" w:firstColumn="0" w:lastColumn="0" w:noHBand="0" w:noVBand="0" w:val="0020"/>
        <w:tblCaption w:val="Roles requiring PIM eligible-only assignment for all human accounts"/>
      </w:tblPr>
      <w:tblGrid>
        <w:gridCol w:w="1397"/>
        <w:gridCol w:w="1630"/>
        <w:gridCol w:w="4891"/>
      </w:tblGrid>
      <w:tr>
        <w:trPr>
          <w:tblHeader w:val="on"/>
        </w:trPr>
        <w:tc>
          <w:tcPr/>
          <w:p>
            <w:pPr>
              <w:pStyle w:val="Compact"/>
            </w:pPr>
            <w:r>
              <w:t xml:space="preserve">Role</w:t>
            </w:r>
          </w:p>
        </w:tc>
        <w:tc>
          <w:tcPr/>
          <w:p>
            <w:pPr>
              <w:pStyle w:val="Compact"/>
            </w:pPr>
            <w:r>
              <w:t xml:space="preserve">Scope</w:t>
            </w:r>
          </w:p>
        </w:tc>
        <w:tc>
          <w:tcPr/>
          <w:p>
            <w:pPr>
              <w:pStyle w:val="Compact"/>
            </w:pPr>
            <w:r>
              <w:t xml:space="preserve">Risk if Compromised</w:t>
            </w:r>
          </w:p>
        </w:tc>
      </w:tr>
      <w:tr>
        <w:tc>
          <w:tcPr/>
          <w:p>
            <w:pPr>
              <w:pStyle w:val="Compact"/>
            </w:pPr>
            <w:r>
              <w:t xml:space="preserve">Global Administrator</w:t>
            </w:r>
          </w:p>
        </w:tc>
        <w:tc>
          <w:tcPr/>
          <w:p>
            <w:pPr>
              <w:pStyle w:val="Compact"/>
            </w:pPr>
            <w:r>
              <w:t xml:space="preserve">Full tenant</w:t>
            </w:r>
          </w:p>
        </w:tc>
        <w:tc>
          <w:tcPr/>
          <w:p>
            <w:pPr>
              <w:pStyle w:val="Compact"/>
            </w:pPr>
            <w:r>
              <w:t xml:space="preserve">Modify any object, add credentials to any app, bypass all policies</w:t>
            </w:r>
          </w:p>
        </w:tc>
      </w:tr>
      <w:tr>
        <w:tc>
          <w:tcPr/>
          <w:p>
            <w:pPr>
              <w:pStyle w:val="Compact"/>
            </w:pPr>
            <w:r>
              <w:t xml:space="preserve">Privileged Role Administrator</w:t>
            </w:r>
          </w:p>
        </w:tc>
        <w:tc>
          <w:tcPr/>
          <w:p>
            <w:pPr>
              <w:pStyle w:val="Compact"/>
            </w:pPr>
            <w:r>
              <w:t xml:space="preserve">Role management</w:t>
            </w:r>
          </w:p>
        </w:tc>
        <w:tc>
          <w:tcPr/>
          <w:p>
            <w:pPr>
              <w:pStyle w:val="Compact"/>
            </w:pPr>
            <w:r>
              <w:t xml:space="preserve">Promote any account to Global Admin, disable PIM</w:t>
            </w:r>
          </w:p>
        </w:tc>
      </w:tr>
      <w:tr>
        <w:tc>
          <w:tcPr/>
          <w:p>
            <w:pPr>
              <w:pStyle w:val="Compact"/>
            </w:pPr>
            <w:r>
              <w:t xml:space="preserve">Security Administrator</w:t>
            </w:r>
          </w:p>
        </w:tc>
        <w:tc>
          <w:tcPr/>
          <w:p>
            <w:pPr>
              <w:pStyle w:val="Compact"/>
            </w:pPr>
            <w:r>
              <w:t xml:space="preserve">Security settings</w:t>
            </w:r>
          </w:p>
        </w:tc>
        <w:tc>
          <w:tcPr/>
          <w:p>
            <w:pPr>
              <w:pStyle w:val="Compact"/>
            </w:pPr>
            <w:r>
              <w:t xml:space="preserve">Modify Conditional Access, disable MFA, change Named Locations</w:t>
            </w:r>
          </w:p>
        </w:tc>
      </w:tr>
      <w:tr>
        <w:tc>
          <w:tcPr/>
          <w:p>
            <w:pPr>
              <w:pStyle w:val="Compact"/>
            </w:pPr>
            <w:r>
              <w:t xml:space="preserve">Exchange Administrator</w:t>
            </w:r>
          </w:p>
        </w:tc>
        <w:tc>
          <w:tcPr/>
          <w:p>
            <w:pPr>
              <w:pStyle w:val="Compact"/>
            </w:pPr>
            <w:r>
              <w:t xml:space="preserve">Exchange Online</w:t>
            </w:r>
          </w:p>
        </w:tc>
        <w:tc>
          <w:tcPr/>
          <w:p>
            <w:pPr>
              <w:pStyle w:val="Compact"/>
            </w:pPr>
            <w:r>
              <w:t xml:space="preserve">Access any mailbox, create email forwarding rules</w:t>
            </w:r>
          </w:p>
        </w:tc>
      </w:tr>
      <w:tr>
        <w:tc>
          <w:tcPr/>
          <w:p>
            <w:pPr>
              <w:pStyle w:val="Compact"/>
            </w:pPr>
            <w:r>
              <w:t xml:space="preserve">SharePoint Administrator</w:t>
            </w:r>
          </w:p>
        </w:tc>
        <w:tc>
          <w:tcPr/>
          <w:p>
            <w:pPr>
              <w:pStyle w:val="Compact"/>
            </w:pPr>
            <w:r>
              <w:t xml:space="preserve">SharePoint Online</w:t>
            </w:r>
          </w:p>
        </w:tc>
        <w:tc>
          <w:tcPr/>
          <w:p>
            <w:pPr>
              <w:pStyle w:val="Compact"/>
            </w:pPr>
            <w:r>
              <w:t xml:space="preserve">Access any site collection, modify permissions</w:t>
            </w:r>
          </w:p>
        </w:tc>
      </w:tr>
      <w:tr>
        <w:tc>
          <w:tcPr/>
          <w:p>
            <w:pPr>
              <w:pStyle w:val="Compact"/>
            </w:pPr>
            <w:r>
              <w:t xml:space="preserve">Intune Administrator</w:t>
            </w:r>
          </w:p>
        </w:tc>
        <w:tc>
          <w:tcPr/>
          <w:p>
            <w:pPr>
              <w:pStyle w:val="Compact"/>
            </w:pPr>
            <w:r>
              <w:t xml:space="preserve">Endpoint management</w:t>
            </w:r>
          </w:p>
        </w:tc>
        <w:tc>
          <w:tcPr/>
          <w:p>
            <w:pPr>
              <w:pStyle w:val="Compact"/>
            </w:pPr>
            <w:r>
              <w:t xml:space="preserve">Push malicious config to all managed devices, disable compliance</w:t>
            </w:r>
          </w:p>
        </w:tc>
      </w:tr>
      <w:tr>
        <w:tc>
          <w:tcPr/>
          <w:p>
            <w:pPr>
              <w:pStyle w:val="Compact"/>
            </w:pPr>
            <w:r>
              <w:t xml:space="preserve">Azure subscription Owner</w:t>
            </w:r>
          </w:p>
        </w:tc>
        <w:tc>
          <w:tcPr/>
          <w:p>
            <w:pPr>
              <w:pStyle w:val="Compact"/>
            </w:pPr>
            <w:r>
              <w:t xml:space="preserve">Azure resources</w:t>
            </w:r>
          </w:p>
        </w:tc>
        <w:tc>
          <w:tcPr/>
          <w:p>
            <w:pPr>
              <w:pStyle w:val="Compact"/>
            </w:pPr>
            <w:r>
              <w:t xml:space="preserve">Create, modify, delete any Azure resource including Arc servers</w:t>
            </w:r>
          </w:p>
        </w:tc>
      </w:tr>
      <w:tr>
        <w:tc>
          <w:tcPr/>
          <w:p>
            <w:pPr>
              <w:pStyle w:val="Compact"/>
            </w:pPr>
            <w:r>
              <w:t xml:space="preserve">Azure subscription Contributor</w:t>
            </w:r>
          </w:p>
        </w:tc>
        <w:tc>
          <w:tcPr/>
          <w:p>
            <w:pPr>
              <w:pStyle w:val="Compact"/>
            </w:pPr>
            <w:r>
              <w:t xml:space="preserve">Azure resources</w:t>
            </w:r>
          </w:p>
        </w:tc>
        <w:tc>
          <w:tcPr/>
          <w:p>
            <w:pPr>
              <w:pStyle w:val="Compact"/>
            </w:pPr>
            <w:r>
              <w:t xml:space="preserve">Modify resources, exfiltrate data from storage and databases</w:t>
            </w:r>
          </w:p>
        </w:tc>
      </w:tr>
    </w:tbl>
    <w:p>
      <w:pPr>
        <w:pStyle w:val="BodyText"/>
      </w:pPr>
      <w:r>
        <w:t xml:space="preserve">Service principals (managed identities, automation accounts) may retain active assignments for the minimum scope their function requires. Human accounts may not retain active assignments for any role in this table.</w:t>
      </w:r>
    </w:p>
    <w:bookmarkEnd w:id="22"/>
    <w:bookmarkStart w:id="23" w:name="X1b30f54ca0534d3ba40be7a4a3ff85534611b13"/>
    <w:p>
      <w:pPr>
        <w:pStyle w:val="Heading2"/>
      </w:pPr>
      <w:r>
        <w:t xml:space="preserve">Enumerating and Converting Standing Assignments</w:t>
      </w:r>
    </w:p>
    <w:p>
      <w:pPr>
        <w:pStyle w:val="FirstParagraph"/>
      </w:pPr>
      <w:r>
        <w:t xml:space="preserve">The first operational step is discovery: find every human account that holds an active (standing) assignment for any role in the table above.</w:t>
      </w:r>
    </w:p>
    <w:p>
      <w:pPr>
        <w:pStyle w:val="SourceCode"/>
      </w:pPr>
      <w:r>
        <w:rPr>
          <w:rStyle w:val="CommentTok"/>
        </w:rPr>
        <w:t xml:space="preserve"># Requires: Az.Resources module, Microsoft.Graph module</w:t>
      </w:r>
      <w:r>
        <w:br/>
      </w:r>
      <w:r>
        <w:rPr>
          <w:rStyle w:val="CommentTok"/>
        </w:rPr>
        <w:t xml:space="preserve"># Run as Global Admin (this is a bootstrap task -- use break-glass if PIM is not yet configured)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"RoleManagement.Read.All"</w:t>
      </w:r>
      <w:r>
        <w:rPr>
          <w:rStyle w:val="OperatorTok"/>
        </w:rPr>
        <w:t xml:space="preserve">,</w:t>
      </w:r>
      <w:r>
        <w:rPr>
          <w:rStyle w:val="NormalTok"/>
        </w:rPr>
        <w:t xml:space="preserve"> </w:t>
      </w:r>
      <w:r>
        <w:rPr>
          <w:rStyle w:val="StringTok"/>
        </w:rPr>
        <w:t xml:space="preserve">"Directory.Read.All"</w:t>
      </w:r>
      <w:r>
        <w:br/>
      </w:r>
      <w:r>
        <w:br/>
      </w:r>
      <w:r>
        <w:rPr>
          <w:rStyle w:val="CommentTok"/>
        </w:rPr>
        <w:t xml:space="preserve"># Define privileged roles to audit</w:t>
      </w:r>
      <w:r>
        <w:br/>
      </w:r>
      <w:r>
        <w:rPr>
          <w:rStyle w:val="VariableTok"/>
        </w:rPr>
        <w:t xml:space="preserve">$privilegedRoles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"62e90394-69f5-4237-9190-012177145e10"</w:t>
      </w:r>
      <w:r>
        <w:rPr>
          <w:rStyle w:val="OperatorTok"/>
        </w:rPr>
        <w:t xml:space="preserve">,</w:t>
      </w:r>
      <w:r>
        <w:rPr>
          <w:rStyle w:val="NormalTok"/>
        </w:rPr>
        <w:t xml:space="preserve">  </w:t>
      </w:r>
      <w:r>
        <w:rPr>
          <w:rStyle w:val="CommentTok"/>
        </w:rPr>
        <w:t xml:space="preserve"># Global Administrator</w:t>
      </w:r>
      <w:r>
        <w:br/>
      </w:r>
      <w:r>
        <w:rPr>
          <w:rStyle w:val="NormalTok"/>
        </w:rPr>
        <w:t xml:space="preserve">    </w:t>
      </w:r>
      <w:r>
        <w:rPr>
          <w:rStyle w:val="StringTok"/>
        </w:rPr>
        <w:t xml:space="preserve">"e8611ab8-c189-46e8-94e1-60213ab1f814"</w:t>
      </w:r>
      <w:r>
        <w:rPr>
          <w:rStyle w:val="OperatorTok"/>
        </w:rPr>
        <w:t xml:space="preserve">,</w:t>
      </w:r>
      <w:r>
        <w:rPr>
          <w:rStyle w:val="NormalTok"/>
        </w:rPr>
        <w:t xml:space="preserve">  </w:t>
      </w:r>
      <w:r>
        <w:rPr>
          <w:rStyle w:val="CommentTok"/>
        </w:rPr>
        <w:t xml:space="preserve"># Privileged Role Administrator</w:t>
      </w:r>
      <w:r>
        <w:br/>
      </w:r>
      <w:r>
        <w:rPr>
          <w:rStyle w:val="NormalTok"/>
        </w:rPr>
        <w:t xml:space="preserve">    </w:t>
      </w:r>
      <w:r>
        <w:rPr>
          <w:rStyle w:val="StringTok"/>
        </w:rPr>
        <w:t xml:space="preserve">"194ae4cb-b126-40b2-bd5b-6091b380977d"</w:t>
      </w:r>
      <w:r>
        <w:rPr>
          <w:rStyle w:val="OperatorTok"/>
        </w:rPr>
        <w:t xml:space="preserve">,</w:t>
      </w:r>
      <w:r>
        <w:rPr>
          <w:rStyle w:val="NormalTok"/>
        </w:rPr>
        <w:t xml:space="preserve">  </w:t>
      </w:r>
      <w:r>
        <w:rPr>
          <w:rStyle w:val="CommentTok"/>
        </w:rPr>
        <w:t xml:space="preserve"># Security Administrator</w:t>
      </w:r>
      <w:r>
        <w:br/>
      </w:r>
      <w:r>
        <w:rPr>
          <w:rStyle w:val="NormalTok"/>
        </w:rPr>
        <w:t xml:space="preserve">    </w:t>
      </w:r>
      <w:r>
        <w:rPr>
          <w:rStyle w:val="StringTok"/>
        </w:rPr>
        <w:t xml:space="preserve">"29232cdf-9323-42fd-ade2-1d097af3e4de"</w:t>
      </w:r>
      <w:r>
        <w:rPr>
          <w:rStyle w:val="OperatorTok"/>
        </w:rPr>
        <w:t xml:space="preserve">,</w:t>
      </w:r>
      <w:r>
        <w:rPr>
          <w:rStyle w:val="NormalTok"/>
        </w:rPr>
        <w:t xml:space="preserve">  </w:t>
      </w:r>
      <w:r>
        <w:rPr>
          <w:rStyle w:val="CommentTok"/>
        </w:rPr>
        <w:t xml:space="preserve"># Exchange Administrator</w:t>
      </w:r>
      <w:r>
        <w:br/>
      </w:r>
      <w:r>
        <w:rPr>
          <w:rStyle w:val="NormalTok"/>
        </w:rPr>
        <w:t xml:space="preserve">    </w:t>
      </w:r>
      <w:r>
        <w:rPr>
          <w:rStyle w:val="StringTok"/>
        </w:rPr>
        <w:t xml:space="preserve">"f28a1f50-f6e7-4571-818b-6a12f2af6b6c"</w:t>
      </w:r>
      <w:r>
        <w:rPr>
          <w:rStyle w:val="OperatorTok"/>
        </w:rPr>
        <w:t xml:space="preserve">,</w:t>
      </w:r>
      <w:r>
        <w:rPr>
          <w:rStyle w:val="NormalTok"/>
        </w:rPr>
        <w:t xml:space="preserve">  </w:t>
      </w:r>
      <w:r>
        <w:rPr>
          <w:rStyle w:val="CommentTok"/>
        </w:rPr>
        <w:t xml:space="preserve"># SharePoint Administrator</w:t>
      </w:r>
      <w:r>
        <w:br/>
      </w:r>
      <w:r>
        <w:rPr>
          <w:rStyle w:val="NormalTok"/>
        </w:rPr>
        <w:t xml:space="preserve">    </w:t>
      </w:r>
      <w:r>
        <w:rPr>
          <w:rStyle w:val="StringTok"/>
        </w:rPr>
        <w:t xml:space="preserve">"3a2c62db-5318-420d-8d74-23affee5d9d5"</w:t>
      </w:r>
      <w:r>
        <w:rPr>
          <w:rStyle w:val="NormalTok"/>
        </w:rPr>
        <w:t xml:space="preserve">   </w:t>
      </w:r>
      <w:r>
        <w:rPr>
          <w:rStyle w:val="CommentTok"/>
        </w:rPr>
        <w:t xml:space="preserve"># Intune Administrator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 Standing Active Role Assignments (Human Accounts) ==="</w:t>
      </w:r>
      <w:r>
        <w:rPr>
          <w:rStyle w:val="NormalTok"/>
        </w:rPr>
        <w:t xml:space="preserve"> </w:t>
      </w:r>
      <w:r>
        <w:rPr>
          <w:rStyle w:val="OperatorTok"/>
        </w:rPr>
        <w:t xml:space="preserve">-</w:t>
      </w:r>
      <w:r>
        <w:rPr>
          <w:rStyle w:val="NormalTok"/>
        </w:rPr>
        <w:t xml:space="preserve">ForegroundColor Cyan</w:t>
      </w:r>
      <w:r>
        <w:br/>
      </w:r>
      <w:r>
        <w:br/>
      </w:r>
      <w:r>
        <w:rPr>
          <w:rStyle w:val="OperatorTok"/>
        </w:rPr>
        <w:t xml:space="preserve">$(</w:t>
      </w:r>
      <w:r>
        <w:rPr>
          <w:rStyle w:val="ControlFlowTok"/>
        </w:rPr>
        <w:t xml:space="preserve">foreach</w:t>
      </w:r>
      <w:r>
        <w:rPr>
          <w:rStyle w:val="NormalTok"/>
        </w:rPr>
        <w:t xml:space="preserve"> </w:t>
      </w:r>
      <w:r>
        <w:rPr>
          <w:rStyle w:val="OperatorTok"/>
        </w:rPr>
        <w:t xml:space="preserve">(</w:t>
      </w:r>
      <w:r>
        <w:rPr>
          <w:rStyle w:val="VariableTok"/>
        </w:rPr>
        <w:t xml:space="preserve">$roleId</w:t>
      </w:r>
      <w:r>
        <w:rPr>
          <w:rStyle w:val="NormalTok"/>
        </w:rPr>
        <w:t xml:space="preserve"> </w:t>
      </w:r>
      <w:r>
        <w:rPr>
          <w:rStyle w:val="KeywordTok"/>
        </w:rPr>
        <w:t xml:space="preserve">in</w:t>
      </w:r>
      <w:r>
        <w:rPr>
          <w:rStyle w:val="NormalTok"/>
        </w:rPr>
        <w:t xml:space="preserve"> </w:t>
      </w:r>
      <w:r>
        <w:rPr>
          <w:rStyle w:val="VariableTok"/>
        </w:rPr>
        <w:t xml:space="preserve">$privilegedRoles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$roleDefinition</w:t>
      </w:r>
      <w:r>
        <w:rPr>
          <w:rStyle w:val="NormalTok"/>
        </w:rPr>
        <w:t xml:space="preserve"> </w:t>
      </w:r>
      <w:r>
        <w:rPr>
          <w:rStyle w:val="OperatorTok"/>
        </w:rPr>
        <w:t xml:space="preserve">=</w:t>
      </w:r>
      <w:r>
        <w:rPr>
          <w:rStyle w:val="NormalTok"/>
        </w:rPr>
        <w:t xml:space="preserve"> Get-MgRoleManagementDirectoryRoleDefinition </w:t>
      </w:r>
      <w:r>
        <w:rPr>
          <w:rStyle w:val="OperatorTok"/>
        </w:rPr>
        <w:t xml:space="preserve">-</w:t>
      </w:r>
      <w:r>
        <w:rPr>
          <w:rStyle w:val="NormalTok"/>
        </w:rPr>
        <w:t xml:space="preserve">UnifiedRoleDefinitionId </w:t>
      </w:r>
      <w:r>
        <w:rPr>
          <w:rStyle w:val="VariableTok"/>
        </w:rPr>
        <w:t xml:space="preserve">$roleId</w:t>
      </w:r>
      <w:r>
        <w:br/>
      </w:r>
      <w:r>
        <w:br/>
      </w:r>
      <w:r>
        <w:rPr>
          <w:rStyle w:val="NormalTok"/>
        </w:rPr>
        <w:t xml:space="preserve">    </w:t>
      </w:r>
      <w:r>
        <w:rPr>
          <w:rStyle w:val="CommentTok"/>
        </w:rPr>
        <w:t xml:space="preserve"># Get active (standing) assignments -- not eligible, not time-limited</w:t>
      </w:r>
      <w:r>
        <w:br/>
      </w:r>
      <w:r>
        <w:rPr>
          <w:rStyle w:val="NormalTok"/>
        </w:rPr>
        <w:t xml:space="preserve">    </w:t>
      </w:r>
      <w:r>
        <w:rPr>
          <w:rStyle w:val="VariableTok"/>
        </w:rPr>
        <w:t xml:space="preserve">$activeAssignments</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"roleDefinitionId eq '</w:t>
      </w:r>
      <w:r>
        <w:rPr>
          <w:rStyle w:val="VariableTok"/>
        </w:rPr>
        <w:t xml:space="preserve">$roleId</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ExpandProperty </w:t>
      </w:r>
      <w:r>
        <w:rPr>
          <w:rStyle w:val="StringTok"/>
        </w:rPr>
        <w:t xml:space="preserve">"principal"</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$assignment</w:t>
      </w:r>
      <w:r>
        <w:rPr>
          <w:rStyle w:val="NormalTok"/>
        </w:rPr>
        <w:t xml:space="preserve"> </w:t>
      </w:r>
      <w:r>
        <w:rPr>
          <w:rStyle w:val="KeywordTok"/>
        </w:rPr>
        <w:t xml:space="preserve">in</w:t>
      </w:r>
      <w:r>
        <w:rPr>
          <w:rStyle w:val="NormalTok"/>
        </w:rPr>
        <w:t xml:space="preserve"> </w:t>
      </w:r>
      <w:r>
        <w:rPr>
          <w:rStyle w:val="VariableTok"/>
        </w:rPr>
        <w:t xml:space="preserve">$activeAssignments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$principal</w:t>
      </w:r>
      <w:r>
        <w:rPr>
          <w:rStyle w:val="NormalTok"/>
        </w:rPr>
        <w:t xml:space="preserv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Principal</w:t>
      </w:r>
      <w:r>
        <w:br/>
      </w:r>
      <w:r>
        <w:br/>
      </w:r>
      <w:r>
        <w:rPr>
          <w:rStyle w:val="NormalTok"/>
        </w:rPr>
        <w:t xml:space="preserve">        </w:t>
      </w:r>
      <w:r>
        <w:rPr>
          <w:rStyle w:val="CommentTok"/>
        </w:rPr>
        <w:t xml:space="preserve"># Filter to user accounts only (exclude service principals)</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'@odata.type'</w:t>
      </w:r>
      <w:r>
        <w:rPr>
          <w:rStyle w:val="OperatorTok"/>
        </w:rPr>
        <w:t xml:space="preserve">]</w:t>
      </w:r>
      <w:r>
        <w:rPr>
          <w:rStyle w:val="NormalTok"/>
        </w:rPr>
        <w:t xml:space="preserve"> </w:t>
      </w:r>
      <w:r>
        <w:rPr>
          <w:rStyle w:val="OperatorTok"/>
        </w:rPr>
        <w:t xml:space="preserve">-eq</w:t>
      </w:r>
      <w:r>
        <w:rPr>
          <w:rStyle w:val="NormalTok"/>
        </w:rPr>
        <w:t xml:space="preserve"> </w:t>
      </w:r>
      <w:r>
        <w:rPr>
          <w:rStyle w:val="StringTok"/>
        </w:rPr>
        <w:t xml:space="preserve">'#microsoft.graph.user'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Role          </w:t>
      </w:r>
      <w:r>
        <w:rPr>
          <w:rStyle w:val="OperatorTok"/>
        </w:rPr>
        <w:t xml:space="preserve">=</w:t>
      </w:r>
      <w:r>
        <w:rPr>
          <w:rStyle w:val="NormalTok"/>
        </w:rPr>
        <w:t xml:space="preserve"> </w:t>
      </w:r>
      <w:r>
        <w:rPr>
          <w:rStyle w:val="VariableTok"/>
        </w:rPr>
        <w:t xml:space="preserve">$roleDefinition</w:t>
      </w:r>
      <w:r>
        <w:rPr>
          <w:rStyle w:val="OperatorTok"/>
        </w:rPr>
        <w:t xml:space="preserve">.</w:t>
      </w:r>
      <w:r>
        <w:rPr>
          <w:rStyle w:val="FunctionTok"/>
        </w:rPr>
        <w:t xml:space="preserve">DisplayName</w:t>
      </w:r>
      <w:r>
        <w:br/>
      </w:r>
      <w:r>
        <w:rPr>
          <w:rStyle w:val="NormalTok"/>
        </w:rPr>
        <w:t xml:space="preserve">                User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'displayName'</w:t>
      </w:r>
      <w:r>
        <w:rPr>
          <w:rStyle w:val="OperatorTok"/>
        </w:rPr>
        <w:t xml:space="preserve">]</w:t>
      </w:r>
      <w:r>
        <w:br/>
      </w:r>
      <w:r>
        <w:rPr>
          <w:rStyle w:val="NormalTok"/>
        </w:rPr>
        <w:t xml:space="preserve">                UPN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'userPrincipalName'</w:t>
      </w:r>
      <w:r>
        <w:rPr>
          <w:rStyle w:val="OperatorTok"/>
        </w:rPr>
        <w:t xml:space="preserve">]</w:t>
      </w:r>
      <w:r>
        <w:br/>
      </w:r>
      <w:r>
        <w:rPr>
          <w:rStyle w:val="NormalTok"/>
        </w:rPr>
        <w:t xml:space="preserve">                AssignmentId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Id</w:t>
      </w:r>
      <w:r>
        <w:br/>
      </w:r>
      <w:r>
        <w:rPr>
          <w:rStyle w:val="NormalTok"/>
        </w:rPr>
        <w:t xml:space="preserve">                DirectoryScope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DirectoryScopeId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After enumerating standing assignments, convert each human account from active to eligible. This is done through the PIM API via Microsoft Graph.</w:t>
      </w:r>
    </w:p>
    <w:p>
      <w:pPr>
        <w:pStyle w:val="SourceCode"/>
      </w:pPr>
      <w:r>
        <w:rPr>
          <w:rStyle w:val="CommentTok"/>
        </w:rPr>
        <w:t xml:space="preserve"># Convert a standing active assignment to PIM eligible</w:t>
      </w:r>
      <w:r>
        <w:br/>
      </w:r>
      <w:r>
        <w:rPr>
          <w:rStyle w:val="CommentTok"/>
        </w:rPr>
        <w:t xml:space="preserve"># Run AFTER confirming the account and role with the account holder</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"Directory.Read.All"</w:t>
      </w:r>
      <w:r>
        <w:br/>
      </w:r>
      <w:r>
        <w:br/>
      </w:r>
      <w:r>
        <w:rPr>
          <w:rStyle w:val="KeywordTok"/>
        </w:rPr>
        <w:t xml:space="preserve">function</w:t>
      </w:r>
      <w:r>
        <w:rPr>
          <w:rStyle w:val="NormalTok"/>
        </w:rPr>
        <w:t xml:space="preserve"> Convert-ToPimEligible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$UserUpn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$RoleDefinitionId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$Justification</w:t>
      </w:r>
      <w:r>
        <w:rPr>
          <w:rStyle w:val="NormalTok"/>
        </w:rPr>
        <w:t xml:space="preserve"> </w:t>
      </w:r>
      <w:r>
        <w:rPr>
          <w:rStyle w:val="OperatorTok"/>
        </w:rPr>
        <w:t xml:space="preserve">=</w:t>
      </w:r>
      <w:r>
        <w:rPr>
          <w:rStyle w:val="NormalTok"/>
        </w:rPr>
        <w:t xml:space="preserve"> </w:t>
      </w:r>
      <w:r>
        <w:rPr>
          <w:rStyle w:val="StringTok"/>
        </w:rPr>
        <w:t xml:space="preserve">"Converting standing assignment to PIM eligible per PAM policy"</w:t>
      </w:r>
      <w:r>
        <w:br/>
      </w:r>
      <w:r>
        <w:rPr>
          <w:rStyle w:val="NormalTok"/>
        </w:rPr>
        <w:t xml:space="preserve">    </w:t>
      </w:r>
      <w:r>
        <w:rPr>
          <w:rStyle w:val="OperatorTok"/>
        </w:rPr>
        <w:t xml:space="preserve">)</w:t>
      </w:r>
      <w:r>
        <w:br/>
      </w:r>
      <w:r>
        <w:br/>
      </w:r>
      <w:r>
        <w:rPr>
          <w:rStyle w:val="NormalTok"/>
        </w:rPr>
        <w:t xml:space="preserve">    </w:t>
      </w:r>
      <w:r>
        <w:rPr>
          <w:rStyle w:val="VariableTok"/>
        </w:rPr>
        <w:t xml:space="preserve">$user</w:t>
      </w:r>
      <w:r>
        <w:rPr>
          <w:rStyle w:val="NormalTok"/>
        </w:rPr>
        <w:t xml:space="preserve"> </w:t>
      </w:r>
      <w:r>
        <w:rPr>
          <w:rStyle w:val="OperatorTok"/>
        </w:rPr>
        <w:t xml:space="preserve">=</w:t>
      </w:r>
      <w:r>
        <w:rPr>
          <w:rStyle w:val="NormalTok"/>
        </w:rPr>
        <w:t xml:space="preserve"> Get-MgUser </w:t>
      </w:r>
      <w:r>
        <w:rPr>
          <w:rStyle w:val="OperatorTok"/>
        </w:rPr>
        <w:t xml:space="preserve">-</w:t>
      </w:r>
      <w:r>
        <w:rPr>
          <w:rStyle w:val="NormalTok"/>
        </w:rPr>
        <w:t xml:space="preserve">Filter </w:t>
      </w:r>
      <w:r>
        <w:rPr>
          <w:rStyle w:val="StringTok"/>
        </w:rPr>
        <w:t xml:space="preserve">"userPrincipalName eq '</w:t>
      </w:r>
      <w:r>
        <w:rPr>
          <w:rStyle w:val="VariableTok"/>
        </w:rPr>
        <w:t xml:space="preserve">$UserUpn</w:t>
      </w:r>
      <w:r>
        <w:rPr>
          <w:rStyle w:val="String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$UserUpn</w:t>
      </w:r>
      <w:r>
        <w:rPr>
          <w:rStyle w:val="StringTok"/>
        </w:rPr>
        <w:t xml:space="preserve"> not found"</w:t>
      </w:r>
      <w:r>
        <w:br/>
      </w:r>
      <w:r>
        <w:rPr>
          <w:rStyle w:val="NormalTok"/>
        </w:rPr>
        <w:t xml:space="preserve">        </w:t>
      </w:r>
      <w:r>
        <w:rPr>
          <w:rStyle w:val="ControlFlowTok"/>
        </w:rPr>
        <w:t xml:space="preserve">return</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1: Remove the standing active assignment</w:t>
      </w:r>
      <w:r>
        <w:br/>
      </w:r>
      <w:r>
        <w:rPr>
          <w:rStyle w:val="NormalTok"/>
        </w:rPr>
        <w:t xml:space="preserve">    </w:t>
      </w:r>
      <w:r>
        <w:rPr>
          <w:rStyle w:val="VariableTok"/>
        </w:rPr>
        <w:t xml:space="preserve">$existingAssignment</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"principalId eq '</w:t>
      </w:r>
      <w:r>
        <w:rPr>
          <w:rStyle w:val="OperatorTok"/>
        </w:rPr>
        <w:t xml:space="preserve">$(</w:t>
      </w:r>
      <w:r>
        <w:rPr>
          <w:rStyle w:val="VariableTok"/>
        </w:rPr>
        <w:t xml:space="preserve">$user</w:t>
      </w:r>
      <w:r>
        <w:rPr>
          <w:rStyle w:val="OperatorTok"/>
        </w:rPr>
        <w:t xml:space="preserve">.</w:t>
      </w:r>
      <w:r>
        <w:rPr>
          <w:rStyle w:val="FunctionTok"/>
        </w:rPr>
        <w:t xml:space="preserve">Id</w:t>
      </w:r>
      <w:r>
        <w:rPr>
          <w:rStyle w:val="OperatorTok"/>
        </w:rPr>
        <w:t xml:space="preserve">)</w:t>
      </w:r>
      <w:r>
        <w:rPr>
          <w:rStyle w:val="StringTok"/>
        </w:rPr>
        <w:t xml:space="preserve">' and roleDefinitionId eq '</w:t>
      </w:r>
      <w:r>
        <w:rPr>
          <w:rStyle w:val="VariableTok"/>
        </w:rPr>
        <w:t xml:space="preserve">$RoleDefinitionId</w:t>
      </w:r>
      <w:r>
        <w:rPr>
          <w:rStyle w:val="String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$existingAssignment</w:t>
      </w:r>
      <w:r>
        <w:rPr>
          <w:rStyle w:val="OperatorTok"/>
        </w:rPr>
        <w:t xml:space="preserve">)</w:t>
      </w:r>
      <w:r>
        <w:rPr>
          <w:rStyle w:val="NormalTok"/>
        </w:rPr>
        <w:t xml:space="preserve"> </w:t>
      </w:r>
      <w:r>
        <w:rPr>
          <w:rStyle w:val="OperatorTok"/>
        </w:rPr>
        <w:t xml:space="preserve">{</w:t>
      </w:r>
      <w:r>
        <w:br/>
      </w:r>
      <w:r>
        <w:rPr>
          <w:rStyle w:val="NormalTok"/>
        </w:rPr>
        <w:t xml:space="preserve">        Remove-MgRoleManagementDirectoryRoleAssignment </w:t>
      </w:r>
      <w:r>
        <w:rPr>
          <w:rStyle w:val="OperatorTok"/>
        </w:rPr>
        <w:t xml:space="preserve">-</w:t>
      </w:r>
      <w:r>
        <w:rPr>
          <w:rStyle w:val="NormalTok"/>
        </w:rPr>
        <w:t xml:space="preserve">UnifiedRoleAssignmentId </w:t>
      </w:r>
      <w:r>
        <w:rPr>
          <w:rStyle w:val="VariableTok"/>
        </w:rPr>
        <w:t xml:space="preserve">$existingAssignment</w:t>
      </w:r>
      <w:r>
        <w:rPr>
          <w:rStyle w:val="OperatorTok"/>
        </w:rPr>
        <w:t xml:space="preserve">.</w:t>
      </w:r>
      <w:r>
        <w:rPr>
          <w:rStyle w:val="FunctionTok"/>
        </w:rPr>
        <w:t xml:space="preserve">Id</w:t>
      </w:r>
      <w:r>
        <w:br/>
      </w:r>
      <w:r>
        <w:rPr>
          <w:rStyle w:val="NormalTok"/>
        </w:rPr>
        <w:t xml:space="preserve">        </w:t>
      </w:r>
      <w:r>
        <w:rPr>
          <w:rStyle w:val="FunctionTok"/>
        </w:rPr>
        <w:t xml:space="preserve">Write-Host</w:t>
      </w:r>
      <w:r>
        <w:rPr>
          <w:rStyle w:val="NormalTok"/>
        </w:rPr>
        <w:t xml:space="preserve"> </w:t>
      </w:r>
      <w:r>
        <w:rPr>
          <w:rStyle w:val="StringTok"/>
        </w:rPr>
        <w:t xml:space="preserve">"Removed standing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2: Create PIM eligible assignment (no end date = permanent eligible)</w:t>
      </w:r>
      <w:r>
        <w:br/>
      </w:r>
      <w:r>
        <w:rPr>
          <w:rStyle w:val="NormalTok"/>
        </w:rPr>
        <w:t xml:space="preserve">    </w:t>
      </w:r>
      <w:r>
        <w:rPr>
          <w:rStyle w:val="VariableTok"/>
        </w:rPr>
        <w:t xml:space="preserve">$eligibleParams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StringTok"/>
        </w:rPr>
        <w:t xml:space="preserve">"adminAssign"</w:t>
      </w:r>
      <w:r>
        <w:br/>
      </w:r>
      <w:r>
        <w:rPr>
          <w:rStyle w:val="NormalTok"/>
        </w:rPr>
        <w:t xml:space="preserve">        Justification    </w:t>
      </w:r>
      <w:r>
        <w:rPr>
          <w:rStyle w:val="OperatorTok"/>
        </w:rPr>
        <w:t xml:space="preserve">=</w:t>
      </w:r>
      <w:r>
        <w:rPr>
          <w:rStyle w:val="NormalTok"/>
        </w:rPr>
        <w:t xml:space="preserve"> </w:t>
      </w:r>
      <w:r>
        <w:rPr>
          <w:rStyle w:val="VariableTok"/>
        </w:rPr>
        <w:t xml:space="preserve">$Justification</w:t>
      </w:r>
      <w:r>
        <w:br/>
      </w:r>
      <w:r>
        <w:rPr>
          <w:rStyle w:val="NormalTok"/>
        </w:rPr>
        <w:t xml:space="preserve">        RoleDefinitionId </w:t>
      </w:r>
      <w:r>
        <w:rPr>
          <w:rStyle w:val="OperatorTok"/>
        </w:rPr>
        <w:t xml:space="preserve">=</w:t>
      </w:r>
      <w:r>
        <w:rPr>
          <w:rStyle w:val="NormalTok"/>
        </w:rPr>
        <w:t xml:space="preserve"> </w:t>
      </w:r>
      <w:r>
        <w:rPr>
          <w:rStyle w:val="VariableTok"/>
        </w:rPr>
        <w:t xml:space="preserve">$RoleDefinitionId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$user</w:t>
      </w:r>
      <w:r>
        <w:rPr>
          <w:rStyle w:val="OperatorTok"/>
        </w:rPr>
        <w:t xml:space="preserve">.</w:t>
      </w:r>
      <w:r>
        <w:rPr>
          <w:rStyle w:val="FunctionTok"/>
        </w:rPr>
        <w:t xml:space="preserve">Id</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New-MgRoleManagementDirectoryRoleEligibilityScheduleRequest </w:t>
      </w:r>
      <w:r>
        <w:rPr>
          <w:rStyle w:val="OperatorTok"/>
        </w:rPr>
        <w:t xml:space="preserve">-</w:t>
      </w:r>
      <w:r>
        <w:rPr>
          <w:rStyle w:val="NormalTok"/>
        </w:rPr>
        <w:t xml:space="preserve">BodyParameter </w:t>
      </w:r>
      <w:r>
        <w:rPr>
          <w:rStyle w:val="VariableTok"/>
        </w:rPr>
        <w:t xml:space="preserve">$eligibleParams</w:t>
      </w:r>
      <w:r>
        <w:br/>
      </w:r>
      <w:r>
        <w:rPr>
          <w:rStyle w:val="NormalTok"/>
        </w:rPr>
        <w:t xml:space="preserve">    </w:t>
      </w:r>
      <w:r>
        <w:rPr>
          <w:rStyle w:val="FunctionTok"/>
        </w:rPr>
        <w:t xml:space="preserve">Write-Host</w:t>
      </w:r>
      <w:r>
        <w:rPr>
          <w:rStyle w:val="NormalTok"/>
        </w:rPr>
        <w:t xml:space="preserve"> </w:t>
      </w:r>
      <w:r>
        <w:rPr>
          <w:rStyle w:val="StringTok"/>
        </w:rPr>
        <w:t xml:space="preserve">"Created PIM eligible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OperatorTok"/>
        </w:rPr>
        <w:t xml:space="preserve">}</w:t>
      </w:r>
      <w:r>
        <w:br/>
      </w:r>
      <w:r>
        <w:br/>
      </w:r>
      <w:r>
        <w:rPr>
          <w:rStyle w:val="CommentTok"/>
        </w:rPr>
        <w:t xml:space="preserve"># Example usage -- run once per account per role</w:t>
      </w:r>
      <w:r>
        <w:br/>
      </w:r>
      <w:r>
        <w:rPr>
          <w:rStyle w:val="NormalTok"/>
        </w:rPr>
        <w:t xml:space="preserve">Convert-ToPimEligible `</w:t>
      </w:r>
      <w:r>
        <w:br/>
      </w:r>
      <w:r>
        <w:rPr>
          <w:rStyle w:val="NormalTok"/>
        </w:rPr>
        <w:t xml:space="preserve">    </w:t>
      </w:r>
      <w:r>
        <w:rPr>
          <w:rStyle w:val="OperatorTok"/>
        </w:rPr>
        <w:t xml:space="preserve">-</w:t>
      </w:r>
      <w:r>
        <w:rPr>
          <w:rStyle w:val="NormalTok"/>
        </w:rPr>
        <w:t xml:space="preserve">UserUpn </w:t>
      </w:r>
      <w:r>
        <w:rPr>
          <w:rStyle w:val="StringTok"/>
        </w:rPr>
        <w:t xml:space="preserve">"admin.user@agency.gov"</w:t>
      </w:r>
      <w:r>
        <w:rPr>
          <w:rStyle w:val="NormalTok"/>
        </w:rPr>
        <w:t xml:space="preserve"> `</w:t>
      </w:r>
      <w:r>
        <w:br/>
      </w:r>
      <w:r>
        <w:rPr>
          <w:rStyle w:val="NormalTok"/>
        </w:rPr>
        <w:t xml:space="preserve">    </w:t>
      </w:r>
      <w:r>
        <w:rPr>
          <w:rStyle w:val="OperatorTok"/>
        </w:rPr>
        <w:t xml:space="preserve">-</w:t>
      </w:r>
      <w:r>
        <w:rPr>
          <w:rStyle w:val="NormalTok"/>
        </w:rPr>
        <w:t xml:space="preserve">RoleDefinitionId </w:t>
      </w:r>
      <w:r>
        <w:rPr>
          <w:rStyle w:val="StringTok"/>
        </w:rPr>
        <w:t xml:space="preserve">"62e90394-69f5-4237-9190-012177145e10"</w:t>
      </w:r>
      <w:r>
        <w:rPr>
          <w:rStyle w:val="NormalTok"/>
        </w:rPr>
        <w:t xml:space="preserve">  </w:t>
      </w:r>
      <w:r>
        <w:rPr>
          <w:rStyle w:val="CommentTok"/>
        </w:rPr>
        <w:t xml:space="preserve"># Global Administrator</w:t>
      </w:r>
    </w:p>
    <w:bookmarkEnd w:id="23"/>
    <w:bookmarkStart w:id="24" w:name="pim-policy-configuration"/>
    <w:p>
      <w:pPr>
        <w:pStyle w:val="Heading2"/>
      </w:pPr>
      <w:r>
        <w:t xml:space="preserve">PIM Policy Configuration</w:t>
      </w:r>
    </w:p>
    <w:p>
      <w:pPr>
        <w:pStyle w:val="FirstParagraph"/>
      </w:pPr>
      <w:r>
        <w:t xml:space="preserve">PIM policy is configured per role. The following settings represent the recommended baseline for federal environments operating at FedRAMP Moderate:</w:t>
      </w:r>
    </w:p>
    <w:p>
      <w:pPr>
        <w:pStyle w:val="SourceCode"/>
      </w:pPr>
      <w:r>
        <w:rPr>
          <w:rStyle w:val="CommentTok"/>
        </w:rPr>
        <w:t xml:space="preserve"># Configure PIM role policy for Global Administrator</w:t>
      </w:r>
      <w:r>
        <w:br/>
      </w:r>
      <w:r>
        <w:rPr>
          <w:rStyle w:val="CommentTok"/>
        </w:rPr>
        <w:t xml:space="preserve"># Sets: max activation duration, MFA required, justification required, approver required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"Policy.ReadWrite.RoleManagement"</w:t>
      </w:r>
      <w:r>
        <w:br/>
      </w:r>
      <w:r>
        <w:br/>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CommentTok"/>
        </w:rPr>
        <w:t xml:space="preserve"># Get the current policy for the role</w:t>
      </w:r>
      <w:r>
        <w:br/>
      </w:r>
      <w:r>
        <w:rPr>
          <w:rStyle w:val="VariableTok"/>
        </w:rPr>
        <w:t xml:space="preserve">$policy</w:t>
      </w:r>
      <w:r>
        <w:rPr>
          <w:rStyle w:val="NormalTok"/>
        </w:rPr>
        <w:t xml:space="preserve"> </w:t>
      </w:r>
      <w:r>
        <w:rPr>
          <w:rStyle w:val="OperatorTok"/>
        </w:rPr>
        <w:t xml:space="preserve">=</w:t>
      </w:r>
      <w:r>
        <w:rPr>
          <w:rStyle w:val="NormalTok"/>
        </w:rPr>
        <w:t xml:space="preserve"> Get-MgPolicyRoleManagementPolicy `</w:t>
      </w:r>
      <w:r>
        <w:br/>
      </w:r>
      <w:r>
        <w:rPr>
          <w:rStyle w:val="NormalTok"/>
        </w:rPr>
        <w:t xml:space="preserve">    </w:t>
      </w:r>
      <w:r>
        <w:rPr>
          <w:rStyle w:val="OperatorTok"/>
        </w:rPr>
        <w:t xml:space="preserve">-</w:t>
      </w:r>
      <w:r>
        <w:rPr>
          <w:rStyle w:val="NormalTok"/>
        </w:rPr>
        <w:t xml:space="preserve">Filter </w:t>
      </w:r>
      <w:r>
        <w:rPr>
          <w:rStyle w:val="StringTok"/>
        </w:rPr>
        <w:t xml:space="preserve">"scopeId eq '/' and scopeType eq 'DirectoryRole'"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Get-MgPolicyRoleManagementPolicyAssignment `</w:t>
      </w:r>
      <w:r>
        <w:br/>
      </w:r>
      <w:r>
        <w:rPr>
          <w:rStyle w:val="NormalTok"/>
        </w:rPr>
        <w:t xml:space="preserve">            </w:t>
      </w:r>
      <w:r>
        <w:rPr>
          <w:rStyle w:val="OperatorTok"/>
        </w:rPr>
        <w:t xml:space="preserve">-</w:t>
      </w:r>
      <w:r>
        <w:rPr>
          <w:rStyle w:val="NormalTok"/>
        </w:rPr>
        <w:t xml:space="preserve">Filter </w:t>
      </w:r>
      <w:r>
        <w:rPr>
          <w:rStyle w:val="StringTok"/>
        </w:rPr>
        <w:t xml:space="preserve">"policyId eq '</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rPr>
          <w:rStyle w:val="FunctionTok"/>
        </w:rPr>
        <w:t xml:space="preserve">RoleDefinitionId</w:t>
      </w:r>
      <w:r>
        <w:rPr>
          <w:rStyle w:val="NormalTok"/>
        </w:rPr>
        <w:t xml:space="preserve"> </w:t>
      </w:r>
      <w:r>
        <w:rPr>
          <w:rStyle w:val="OperatorTok"/>
        </w:rPr>
        <w:t xml:space="preserve">-eq</w:t>
      </w:r>
      <w:r>
        <w:rPr>
          <w:rStyle w:val="NormalTok"/>
        </w:rPr>
        <w:t xml:space="preserve"> </w:t>
      </w:r>
      <w:r>
        <w:rPr>
          <w:rStyle w:val="VariableTok"/>
        </w:rPr>
        <w:t xml:space="preserve">$globalAdminRoleId</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DataTypeTok"/>
        </w:rPr>
        <w:t xml:space="preserve">Write</w:t>
      </w:r>
      <w:r>
        <w:rPr>
          <w:rStyle w:val="OperatorTok"/>
        </w:rPr>
        <w:t xml:space="preserve">-</w:t>
      </w:r>
      <w:r>
        <w:rPr>
          <w:rStyle w:val="NormalTok"/>
        </w:rPr>
        <w:t xml:space="preserve">Host </w:t>
      </w:r>
      <w:r>
        <w:rPr>
          <w:rStyle w:val="StringTok"/>
        </w:rPr>
        <w:t xml:space="preserve">"Policy ID for Global Administrator: </w:t>
      </w:r>
      <w:r>
        <w:rPr>
          <w:rStyle w:val="OperatorTok"/>
        </w:rPr>
        <w:t xml:space="preserve">$(</w:t>
      </w:r>
      <w:r>
        <w:rPr>
          <w:rStyle w:val="VariableTok"/>
        </w:rPr>
        <w:t xml:space="preserve">$policy</w:t>
      </w:r>
      <w:r>
        <w:rPr>
          <w:rStyle w:val="OperatorTok"/>
        </w:rPr>
        <w:t xml:space="preserve">.</w:t>
      </w:r>
      <w:r>
        <w:rPr>
          <w:rStyle w:val="FunctionTok"/>
        </w:rPr>
        <w:t xml:space="preserve">Id</w:t>
      </w:r>
      <w:r>
        <w:rPr>
          <w:rStyle w:val="OperatorTok"/>
        </w:rPr>
        <w:t xml:space="preserve">)</w:t>
      </w:r>
      <w:r>
        <w:rPr>
          <w:rStyle w:val="StringTok"/>
        </w:rPr>
        <w:t xml:space="preserve">"</w:t>
      </w:r>
      <w:r>
        <w:br/>
      </w:r>
      <w:r>
        <w:br/>
      </w:r>
      <w:r>
        <w:rPr>
          <w:rStyle w:val="CommentTok"/>
        </w:rPr>
        <w:t xml:space="preserve"># Update activation rules:</w:t>
      </w:r>
      <w:r>
        <w:br/>
      </w:r>
      <w:r>
        <w:rPr>
          <w:rStyle w:val="CommentTok"/>
        </w:rPr>
        <w:t xml:space="preserve"># - Maximum duration: 4 hours (240 minutes) for Global Admin</w:t>
      </w:r>
      <w:r>
        <w:br/>
      </w:r>
      <w:r>
        <w:rPr>
          <w:rStyle w:val="CommentTok"/>
        </w:rPr>
        <w:t xml:space="preserve"># - MFA required at activation</w:t>
      </w:r>
      <w:r>
        <w:br/>
      </w:r>
      <w:r>
        <w:rPr>
          <w:rStyle w:val="CommentTok"/>
        </w:rPr>
        <w:t xml:space="preserve"># - Justification required</w:t>
      </w:r>
      <w:r>
        <w:br/>
      </w:r>
      <w:r>
        <w:rPr>
          <w:rStyle w:val="CommentTok"/>
        </w:rPr>
        <w:t xml:space="preserve"># - Approver required (ticket number or security team approval)</w:t>
      </w:r>
      <w:r>
        <w:br/>
      </w:r>
      <w:r>
        <w:br/>
      </w:r>
      <w:r>
        <w:rPr>
          <w:rStyle w:val="VariableTok"/>
        </w:rPr>
        <w:t xml:space="preserve">$updateRules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StringTok"/>
        </w:rPr>
        <w:t xml:space="preserve">"PT4H"</w:t>
      </w:r>
      <w:r>
        <w:rPr>
          <w:rStyle w:val="NormalTok"/>
        </w:rPr>
        <w:t xml:space="preserve">   </w:t>
      </w:r>
      <w:r>
        <w:rPr>
          <w:rStyle w:val="CommentTok"/>
        </w:rPr>
        <w:t xml:space="preserve"># ISO 8601 duration: 4 hours max</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"#microsoft.graph.unifiedRoleManagementPolicyAuthenticationContextRule"</w:t>
      </w:r>
      <w:r>
        <w:br/>
      </w:r>
      <w:r>
        <w:rPr>
          <w:rStyle w:val="NormalTok"/>
        </w:rPr>
        <w:t xml:space="preserve">        Id                     </w:t>
      </w:r>
      <w:r>
        <w:rPr>
          <w:rStyle w:val="OperatorTok"/>
        </w:rPr>
        <w:t xml:space="preserve">=</w:t>
      </w:r>
      <w:r>
        <w:rPr>
          <w:rStyle w:val="NormalTok"/>
        </w:rPr>
        <w:t xml:space="preserve"> </w:t>
      </w:r>
      <w:r>
        <w:rPr>
          <w:rStyle w:val="StringTok"/>
        </w:rPr>
        <w:t xml:space="preserve">"AuthenticationContext_EndUser_Assignment"</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ClaimValue             </w:t>
      </w:r>
      <w:r>
        <w:rPr>
          <w:rStyle w:val="OperatorTok"/>
        </w:rPr>
        <w:t xml:space="preserve">=</w:t>
      </w:r>
      <w:r>
        <w:rPr>
          <w:rStyle w:val="NormalTok"/>
        </w:rPr>
        <w:t xml:space="preserve"> </w:t>
      </w:r>
      <w:r>
        <w:rPr>
          <w:rStyle w:val="StringTok"/>
        </w:rPr>
        <w:t xml:space="preserve">"c1"</w:t>
      </w:r>
      <w:r>
        <w:rPr>
          <w:rStyle w:val="NormalTok"/>
        </w:rPr>
        <w:t xml:space="preserve">   </w:t>
      </w:r>
      <w:r>
        <w:rPr>
          <w:rStyle w:val="CommentTok"/>
        </w:rPr>
        <w:t xml:space="preserve"># Authentication context requiring fresh MFA</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OperatorTok"/>
        </w:rPr>
        <w:t xml:space="preserve">@(</w:t>
      </w:r>
      <w:r>
        <w:rPr>
          <w:rStyle w:val="StringTok"/>
        </w:rPr>
        <w:t xml:space="preserve">"MultiFactorAuthentication"</w:t>
      </w:r>
      <w:r>
        <w:rPr>
          <w:rStyle w:val="OperatorTok"/>
        </w:rPr>
        <w:t xml:space="preserve">,</w:t>
      </w:r>
      <w:r>
        <w:rPr>
          <w:rStyle w:val="NormalTok"/>
        </w:rPr>
        <w:t xml:space="preserve"> </w:t>
      </w:r>
      <w:r>
        <w:rPr>
          <w:rStyle w:val="StringTok"/>
        </w:rPr>
        <w:t xml:space="preserve">"Justification"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$rule</w:t>
      </w:r>
      <w:r>
        <w:rPr>
          <w:rStyle w:val="NormalTok"/>
        </w:rPr>
        <w:t xml:space="preserve"> </w:t>
      </w:r>
      <w:r>
        <w:rPr>
          <w:rStyle w:val="KeywordTok"/>
        </w:rPr>
        <w:t xml:space="preserve">in</w:t>
      </w:r>
      <w:r>
        <w:rPr>
          <w:rStyle w:val="NormalTok"/>
        </w:rPr>
        <w:t xml:space="preserve"> </w:t>
      </w:r>
      <w:r>
        <w:rPr>
          <w:rStyle w:val="VariableTok"/>
        </w:rPr>
        <w:t xml:space="preserve">$updateRules</w:t>
      </w:r>
      <w:r>
        <w:rPr>
          <w:rStyle w:val="OperatorTok"/>
        </w:rPr>
        <w:t xml:space="preserve">)</w:t>
      </w:r>
      <w:r>
        <w:rPr>
          <w:rStyle w:val="NormalTok"/>
        </w:rPr>
        <w:t xml:space="preserve"> </w:t>
      </w:r>
      <w:r>
        <w:rPr>
          <w:rStyle w:val="OperatorTok"/>
        </w:rPr>
        <w:t xml:space="preserve">{</w:t>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$rule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"PIM policy updated for Global Administrator role"</w:t>
      </w:r>
      <w:r>
        <w:rPr>
          <w:rStyle w:val="NormalTok"/>
        </w:rPr>
        <w:t xml:space="preserve"> </w:t>
      </w:r>
      <w:r>
        <w:rPr>
          <w:rStyle w:val="OperatorTok"/>
        </w:rPr>
        <w:t xml:space="preserve">-</w:t>
      </w:r>
      <w:r>
        <w:rPr>
          <w:rStyle w:val="NormalTok"/>
        </w:rPr>
        <w:t xml:space="preserve">ForegroundColor Green</w:t>
      </w:r>
    </w:p>
    <w:p>
      <w:pPr>
        <w:pStyle w:val="FirstParagraph"/>
      </w:pPr>
      <w:r>
        <w:rPr>
          <w:b/>
          <w:bCs/>
        </w:rPr>
        <w:t xml:space="preserve">Activation Duration by Role Sensitivity</w:t>
      </w:r>
      <w:r>
        <w:t xml:space="preserve"> </w:t>
      </w:r>
      <w:r>
        <w:t xml:space="preserve">— Global Administrator and Privileged Role Administrator activations should be limited to 4 hours maximum. Security Administrator, Exchange Administrator, and SharePoint Administrator can be configured at 8 hours for operational efficiency. Azure subscription Owner/Contributor for server management tasks can be set to 8 hours. All durations must be reviewed and approved in the agency’s PAM policy documentation before implementation.</w:t>
      </w:r>
    </w:p>
    <w:bookmarkEnd w:id="24"/>
    <w:bookmarkEnd w:id="25"/>
    <w:bookmarkStart w:id="30" w:name="just-in-time-server-access"/>
    <w:p>
      <w:pPr>
        <w:pStyle w:val="Heading1"/>
      </w:pPr>
      <w:r>
        <w:t xml:space="preserve">Just-in-Time Server Access</w:t>
      </w:r>
    </w:p>
    <w:bookmarkStart w:id="26" w:name="the-standing-local-administrator-problem"/>
    <w:p>
      <w:pPr>
        <w:pStyle w:val="Heading2"/>
      </w:pPr>
      <w:r>
        <w:t xml:space="preserve">The Standing Local Administrator Problem</w:t>
      </w:r>
    </w:p>
    <w:p>
      <w:pPr>
        <w:pStyle w:val="FirstParagraph"/>
      </w:pPr>
      <w:r>
        <w:t xml:space="preserve">After Vol II Books 01–02 (SQL Server Authentication Modernization and SQL Server Implementation Guide) deploy Arc Managed Identity for SQL Server authentication, the SQL Engine no longer accepts NTLM or password-hash logins. But the Windows Server host running that SQL Engine still has a standing local Administrator account — or a domain account with local admin rights — that can be used to log into the OS, modify SQL Server configuration, access the data files directly, or install software.</w:t>
      </w:r>
    </w:p>
    <w:p>
      <w:pPr>
        <w:pStyle w:val="BodyText"/>
      </w:pPr>
      <w:r>
        <w:t xml:space="preserve">Arc-enabled JIT server access addresses this layer. The mechanism is identical in principle to directory role PIM: an administrator holds an</w:t>
      </w:r>
      <w:r>
        <w:t xml:space="preserve"> </w:t>
      </w:r>
      <w:r>
        <w:rPr>
          <w:i/>
          <w:iCs/>
        </w:rPr>
        <w:t xml:space="preserve">eligible</w:t>
      </w:r>
      <w:r>
        <w:t xml:space="preserve"> </w:t>
      </w:r>
      <w:r>
        <w:t xml:space="preserve">assignment for the Virtual Machine Administrator Login role, requests activation, satisfies MFA and justification, and receives a time-limited OS-level credential. The standing local Administrator is disabled.</w:t>
      </w:r>
    </w:p>
    <w:bookmarkEnd w:id="26"/>
    <w:bookmarkStart w:id="27" w:name="arc-jit-ssh-and-rdp-architecture"/>
    <w:p>
      <w:pPr>
        <w:pStyle w:val="Heading2"/>
      </w:pPr>
      <w:r>
        <w:t xml:space="preserve">Arc JIT SSH and RDP Architecture</w:t>
      </w:r>
    </w:p>
    <w:p>
      <w:pPr>
        <w:pStyle w:val="FirstParagraph"/>
      </w:pPr>
      <w:r>
        <w:t xml:space="preserve">Azure Arc JIT access uses two distinct mechanisms depending on the protocol:</w:t>
      </w:r>
    </w:p>
    <w:p>
      <w:pPr>
        <w:pStyle w:val="BodyText"/>
      </w:pPr>
      <w:r>
        <w:rPr>
          <w:b/>
          <w:bCs/>
        </w:rPr>
        <w:t xml:space="preserve">SSH via Arc.</w:t>
      </w:r>
      <w:r>
        <w:t xml:space="preserve"> </w:t>
      </w:r>
      <w:r>
        <w:t xml:space="preserve">The</w:t>
      </w:r>
      <w:r>
        <w:t xml:space="preserve"> </w:t>
      </w:r>
      <w:r>
        <w:rPr>
          <w:rStyle w:val="VerbatimChar"/>
        </w:rPr>
        <w:t xml:space="preserve">az ssh</w:t>
      </w:r>
      <w:r>
        <w:t xml:space="preserve"> </w:t>
      </w:r>
      <w:r>
        <w:t xml:space="preserve">command establishes an SSH tunnel through the Arc agent to the target host. The tunnel is authenticated using an Entra ID token issued after PIM activation. The local SSH daemon validates the token through the Arc agent. No SSH key needs to be distributed or managed. The session is logged in Arc activity logs.</w:t>
      </w:r>
    </w:p>
    <w:p>
      <w:pPr>
        <w:pStyle w:val="BodyText"/>
      </w:pPr>
      <w:r>
        <w:rPr>
          <w:b/>
          <w:bCs/>
        </w:rPr>
        <w:t xml:space="preserve">RDP via Arc.</w:t>
      </w:r>
      <w:r>
        <w:t xml:space="preserve"> </w:t>
      </w:r>
      <w:r>
        <w:t xml:space="preserve">The</w:t>
      </w:r>
      <w:r>
        <w:t xml:space="preserve"> </w:t>
      </w:r>
      <w:r>
        <w:rPr>
          <w:rStyle w:val="VerbatimChar"/>
        </w:rPr>
        <w:t xml:space="preserve">az ssh arc ... --rdp</w:t>
      </w:r>
      <w:r>
        <w:t xml:space="preserve"> </w:t>
      </w:r>
      <w:r>
        <w:t xml:space="preserve">command (or the Azure portal</w:t>
      </w:r>
      <w:r>
        <w:t xml:space="preserve"> </w:t>
      </w:r>
      <w:r>
        <w:t xml:space="preserve">“Connect”</w:t>
      </w:r>
      <w:r>
        <w:t xml:space="preserve"> </w:t>
      </w:r>
      <w:r>
        <w:t xml:space="preserve">blade for Arc) establishes a proxied RDP session through the Arc connectivity layer. The RDP connection is authenticated using a time-limited certificate issued to the Entra ID user after PIM activation. No public RDP endpoint needs to be exposed.</w:t>
      </w:r>
    </w:p>
    <w:p>
      <w:pPr>
        <w:pStyle w:val="BodyText"/>
      </w:pPr>
      <w:r>
        <w:t xml:space="preserve">Both mechanisms require:</w:t>
      </w:r>
    </w:p>
    <w:p>
      <w:pPr>
        <w:pStyle w:val="Compact"/>
        <w:numPr>
          <w:ilvl w:val="0"/>
          <w:numId w:val="1003"/>
        </w:numPr>
      </w:pPr>
      <w:r>
        <w:t xml:space="preserve">Azure Arc agent installed and connected on the target host</w:t>
      </w:r>
    </w:p>
    <w:p>
      <w:pPr>
        <w:pStyle w:val="Compact"/>
        <w:numPr>
          <w:ilvl w:val="0"/>
          <w:numId w:val="1003"/>
        </w:numPr>
      </w:pPr>
      <w:r>
        <w:rPr>
          <w:rStyle w:val="VerbatimChar"/>
        </w:rPr>
        <w:t xml:space="preserve">Virtual Machine Administrator Login</w:t>
      </w:r>
      <w:r>
        <w:t xml:space="preserve"> </w:t>
      </w:r>
      <w:r>
        <w:t xml:space="preserve">or</w:t>
      </w:r>
      <w:r>
        <w:t xml:space="preserve"> </w:t>
      </w:r>
      <w:r>
        <w:rPr>
          <w:rStyle w:val="VerbatimChar"/>
        </w:rPr>
        <w:t xml:space="preserve">Virtual Machine User Login</w:t>
      </w:r>
      <w:r>
        <w:t xml:space="preserve"> </w:t>
      </w:r>
      <w:r>
        <w:t xml:space="preserve">role assigned as PIM-eligible to the administrator’s Entra ID account</w:t>
      </w:r>
    </w:p>
    <w:p>
      <w:pPr>
        <w:pStyle w:val="Compact"/>
        <w:numPr>
          <w:ilvl w:val="0"/>
          <w:numId w:val="1003"/>
        </w:numPr>
      </w:pPr>
      <w:r>
        <w:t xml:space="preserve">The target host’s Azure resource group and subscription scoped to the role assignment</w:t>
      </w:r>
    </w:p>
    <w:p>
      <w:pPr>
        <w:pStyle w:val="Compact"/>
        <w:numPr>
          <w:ilvl w:val="0"/>
          <w:numId w:val="1003"/>
        </w:numPr>
      </w:pPr>
      <w:r>
        <w:t xml:space="preserve">Network connectivity from the host to Arc endpoints (TCP 443 to management.azure.com and guestconfiguration endpoint)</w:t>
      </w:r>
    </w:p>
    <w:bookmarkEnd w:id="27"/>
    <w:bookmarkStart w:id="28" w:name="configuring-jit-access-via-arc"/>
    <w:p>
      <w:pPr>
        <w:pStyle w:val="Heading2"/>
      </w:pPr>
      <w:r>
        <w:t xml:space="preserve">Configuring JIT Access via Arc</w:t>
      </w:r>
    </w:p>
    <w:p>
      <w:pPr>
        <w:pStyle w:val="SourceCode"/>
      </w:pPr>
      <w:r>
        <w:rPr>
          <w:rStyle w:val="CommentTok"/>
        </w:rPr>
        <w:t xml:space="preserve"># Prerequisites:</w:t>
      </w:r>
      <w:r>
        <w:br/>
      </w:r>
      <w:r>
        <w:rPr>
          <w:rStyle w:val="CommentTok"/>
        </w:rPr>
        <w:t xml:space="preserve"># - Arc agent installed on target host</w:t>
      </w:r>
      <w:r>
        <w:br/>
      </w:r>
      <w:r>
        <w:rPr>
          <w:rStyle w:val="CommentTok"/>
        </w:rPr>
        <w:t xml:space="preserve"># - Az.ConnectedMachine module installed</w:t>
      </w:r>
      <w:r>
        <w:br/>
      </w:r>
      <w:r>
        <w:rPr>
          <w:rStyle w:val="CommentTok"/>
        </w:rPr>
        <w:t xml:space="preserve"># - Privileged Role Administrator or Owner on the Arc-connected resource</w:t>
      </w:r>
      <w:r>
        <w:br/>
      </w:r>
      <w:r>
        <w:br/>
      </w:r>
      <w:r>
        <w:rPr>
          <w:rStyle w:val="FunctionTok"/>
        </w:rPr>
        <w:t xml:space="preserve">Import-Module</w:t>
      </w:r>
      <w:r>
        <w:rPr>
          <w:rStyle w:val="NormalTok"/>
        </w:rPr>
        <w:t xml:space="preserve"> Az</w:t>
      </w:r>
      <w:r>
        <w:rPr>
          <w:rStyle w:val="OperatorTok"/>
        </w:rPr>
        <w:t xml:space="preserve">.</w:t>
      </w:r>
      <w:r>
        <w:rPr>
          <w:rStyle w:val="FunctionTok"/>
        </w:rPr>
        <w:t xml:space="preserve">ConnectedMachine</w:t>
      </w:r>
      <w:r>
        <w:br/>
      </w:r>
      <w:r>
        <w:rPr>
          <w:rStyle w:val="FunctionTok"/>
        </w:rPr>
        <w:t xml:space="preserve">Import-Module</w:t>
      </w:r>
      <w:r>
        <w:rPr>
          <w:rStyle w:val="NormalTok"/>
        </w:rPr>
        <w:t xml:space="preserve"> Az</w:t>
      </w:r>
      <w:r>
        <w:rPr>
          <w:rStyle w:val="OperatorTok"/>
        </w:rPr>
        <w:t xml:space="preserve">.</w:t>
      </w:r>
      <w:r>
        <w:rPr>
          <w:rStyle w:val="FunctionTok"/>
        </w:rPr>
        <w:t xml:space="preserve">Resources</w:t>
      </w:r>
      <w:r>
        <w:br/>
      </w:r>
      <w:r>
        <w:rPr>
          <w:rStyle w:val="NormalTok"/>
        </w:rPr>
        <w:t xml:space="preserve">Connect-AzAccount</w:t>
      </w:r>
      <w:r>
        <w:br/>
      </w:r>
      <w:r>
        <w:br/>
      </w:r>
      <w:r>
        <w:rPr>
          <w:rStyle w:val="CommentTok"/>
        </w:rPr>
        <w:t xml:space="preserve"># Variables -- adjust for your environment</w:t>
      </w:r>
      <w:r>
        <w:br/>
      </w:r>
      <w:r>
        <w:rPr>
          <w:rStyle w:val="VariableTok"/>
        </w:rPr>
        <w:t xml:space="preserve">$subscriptionId</w:t>
      </w:r>
      <w:r>
        <w:rPr>
          <w:rStyle w:val="NormalTok"/>
        </w:rPr>
        <w:t xml:space="preserve">  </w:t>
      </w:r>
      <w:r>
        <w:rPr>
          <w:rStyle w:val="OperatorTok"/>
        </w:rPr>
        <w:t xml:space="preserve">=</w:t>
      </w:r>
      <w:r>
        <w:rPr>
          <w:rStyle w:val="NormalTok"/>
        </w:rPr>
        <w:t xml:space="preserve"> </w:t>
      </w:r>
      <w:r>
        <w:rPr>
          <w:rStyle w:val="StringTok"/>
        </w:rPr>
        <w:t xml:space="preserve">"00000000-0000-0000-0000-000000000000"</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"rg-arc-servers-prod"</w:t>
      </w:r>
      <w:r>
        <w:br/>
      </w:r>
      <w:r>
        <w:rPr>
          <w:rStyle w:val="VariableTok"/>
        </w:rPr>
        <w:t xml:space="preserve">$arcServerName</w:t>
      </w:r>
      <w:r>
        <w:rPr>
          <w:rStyle w:val="NormalTok"/>
        </w:rPr>
        <w:t xml:space="preserve">   </w:t>
      </w:r>
      <w:r>
        <w:rPr>
          <w:rStyle w:val="OperatorTok"/>
        </w:rPr>
        <w:t xml:space="preserve">=</w:t>
      </w:r>
      <w:r>
        <w:rPr>
          <w:rStyle w:val="NormalTok"/>
        </w:rPr>
        <w:t xml:space="preserve"> </w:t>
      </w:r>
      <w:r>
        <w:rPr>
          <w:rStyle w:val="StringTok"/>
        </w:rPr>
        <w:t xml:space="preserve">"sql-prod-01"</w:t>
      </w:r>
      <w:r>
        <w:br/>
      </w:r>
      <w:r>
        <w:rPr>
          <w:rStyle w:val="VariableTok"/>
        </w:rPr>
        <w:t xml:space="preserve">$adminUpn</w:t>
      </w:r>
      <w:r>
        <w:rPr>
          <w:rStyle w:val="NormalTok"/>
        </w:rPr>
        <w:t xml:space="preserve">        </w:t>
      </w:r>
      <w:r>
        <w:rPr>
          <w:rStyle w:val="OperatorTok"/>
        </w:rPr>
        <w:t xml:space="preserve">=</w:t>
      </w:r>
      <w:r>
        <w:rPr>
          <w:rStyle w:val="NormalTok"/>
        </w:rPr>
        <w:t xml:space="preserve"> </w:t>
      </w:r>
      <w:r>
        <w:rPr>
          <w:rStyle w:val="StringTok"/>
        </w:rPr>
        <w:t xml:space="preserve">"admin.user@agency.gov"</w:t>
      </w:r>
      <w:r>
        <w:br/>
      </w:r>
      <w:r>
        <w:br/>
      </w:r>
      <w:r>
        <w:rPr>
          <w:rStyle w:val="CommentTok"/>
        </w:rPr>
        <w:t xml:space="preserve"># Step 1: Confirm the Arc server is connected</w:t>
      </w:r>
      <w:r>
        <w:br/>
      </w:r>
      <w:r>
        <w:rPr>
          <w:rStyle w:val="VariableTok"/>
        </w:rPr>
        <w:t xml:space="preserve">$arcServer</w:t>
      </w:r>
      <w:r>
        <w:rPr>
          <w:rStyle w:val="NormalTok"/>
        </w:rPr>
        <w:t xml:space="preserve"> </w:t>
      </w:r>
      <w:r>
        <w:rPr>
          <w:rStyle w:val="OperatorTok"/>
        </w:rPr>
        <w:t xml:space="preserve">=</w:t>
      </w:r>
      <w:r>
        <w:rPr>
          <w:rStyle w:val="NormalTok"/>
        </w:rPr>
        <w:t xml:space="preserve"> Get-AzConnectedMachine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$arcServerName</w:t>
      </w:r>
      <w:r>
        <w:br/>
      </w:r>
      <w:r>
        <w:br/>
      </w:r>
      <w:r>
        <w:rPr>
          <w:rStyle w:val="ControlFlowTok"/>
        </w:rPr>
        <w:t xml:space="preserve">if</w:t>
      </w:r>
      <w:r>
        <w:rPr>
          <w:rStyle w:val="NormalTok"/>
        </w:rPr>
        <w:t xml:space="preserve">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NormalTok"/>
        </w:rPr>
        <w:t xml:space="preserve"> </w:t>
      </w:r>
      <w:r>
        <w:rPr>
          <w:rStyle w:val="OperatorTok"/>
        </w:rPr>
        <w:t xml:space="preserve">-ne</w:t>
      </w:r>
      <w:r>
        <w:rPr>
          <w:rStyle w:val="NormalTok"/>
        </w:rPr>
        <w:t xml:space="preserve"> </w:t>
      </w:r>
      <w:r>
        <w:rPr>
          <w:rStyle w:val="StringTok"/>
        </w:rPr>
        <w:t xml:space="preserve">"Connected"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"Arc server </w:t>
      </w:r>
      <w:r>
        <w:rPr>
          <w:rStyle w:val="VariableTok"/>
        </w:rPr>
        <w:t xml:space="preserve">$arcServerName</w:t>
      </w:r>
      <w:r>
        <w:rPr>
          <w:rStyle w:val="StringTok"/>
        </w:rPr>
        <w:t xml:space="preserve"> is not connected. Status: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OperatorTok"/>
        </w:rPr>
        <w:t xml:space="preserve">)</w:t>
      </w:r>
      <w:r>
        <w:rPr>
          <w:rStyle w:val="StringTok"/>
        </w:rPr>
        <w:t xml:space="preserve">"</w:t>
      </w:r>
      <w:r>
        <w:br/>
      </w:r>
      <w:r>
        <w:rPr>
          <w:rStyle w:val="NormalTok"/>
        </w:rPr>
        <w:t xml:space="preserve">    </w:t>
      </w:r>
      <w:r>
        <w:rPr>
          <w:rStyle w:val="ControlFlowTok"/>
        </w:rPr>
        <w:t xml:space="preserve">return</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"Arc server </w:t>
      </w:r>
      <w:r>
        <w:rPr>
          <w:rStyle w:val="VariableTok"/>
        </w:rPr>
        <w:t xml:space="preserve">$arcServerName</w:t>
      </w:r>
      <w:r>
        <w:rPr>
          <w:rStyle w:val="StringTok"/>
        </w:rPr>
        <w:t xml:space="preserve"> is connected. OS: </w:t>
      </w:r>
      <w:r>
        <w:rPr>
          <w:rStyle w:val="OperatorTok"/>
        </w:rPr>
        <w:t xml:space="preserve">$(</w:t>
      </w:r>
      <w:r>
        <w:rPr>
          <w:rStyle w:val="VariableTok"/>
        </w:rPr>
        <w:t xml:space="preserve">$arcServer</w:t>
      </w:r>
      <w:r>
        <w:rPr>
          <w:rStyle w:val="OperatorTok"/>
        </w:rPr>
        <w:t xml:space="preserve">.</w:t>
      </w:r>
      <w:r>
        <w:rPr>
          <w:rStyle w:val="FunctionTok"/>
        </w:rPr>
        <w:t xml:space="preserve">OsName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2: Get the administrator's Entra ID object ID</w:t>
      </w:r>
      <w:r>
        <w:br/>
      </w:r>
      <w:r>
        <w:rPr>
          <w:rStyle w:val="VariableTok"/>
        </w:rPr>
        <w:t xml:space="preserve">$adminUser</w:t>
      </w:r>
      <w:r>
        <w:rPr>
          <w:rStyle w:val="NormalTok"/>
        </w:rPr>
        <w:t xml:space="preserve"> </w:t>
      </w:r>
      <w:r>
        <w:rPr>
          <w:rStyle w:val="OperatorTok"/>
        </w:rPr>
        <w:t xml:space="preserve">=</w:t>
      </w:r>
      <w:r>
        <w:rPr>
          <w:rStyle w:val="NormalTok"/>
        </w:rPr>
        <w:t xml:space="preserve"> Get-AzADUser </w:t>
      </w:r>
      <w:r>
        <w:rPr>
          <w:rStyle w:val="OperatorTok"/>
        </w:rPr>
        <w:t xml:space="preserve">-</w:t>
      </w:r>
      <w:r>
        <w:rPr>
          <w:rStyle w:val="NormalTok"/>
        </w:rPr>
        <w:t xml:space="preserve">UserPrincipalName </w:t>
      </w:r>
      <w:r>
        <w:rPr>
          <w:rStyle w:val="VariableTok"/>
        </w:rPr>
        <w:t xml:space="preserve">$adminUpn</w:t>
      </w:r>
      <w:r>
        <w:br/>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$adminUser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$adminUpn</w:t>
      </w:r>
      <w:r>
        <w:rPr>
          <w:rStyle w:val="StringTok"/>
        </w:rPr>
        <w:t xml:space="preserve"> not found in Entra ID"</w:t>
      </w:r>
      <w:r>
        <w:br/>
      </w:r>
      <w:r>
        <w:rPr>
          <w:rStyle w:val="NormalTok"/>
        </w:rPr>
        <w:t xml:space="preserve">    </w:t>
      </w:r>
      <w:r>
        <w:rPr>
          <w:rStyle w:val="ControlFlowTok"/>
        </w:rPr>
        <w:t xml:space="preserve">return</w:t>
      </w:r>
      <w:r>
        <w:br/>
      </w:r>
      <w:r>
        <w:rPr>
          <w:rStyle w:val="OperatorTok"/>
        </w:rPr>
        <w:t xml:space="preserve">}</w:t>
      </w:r>
      <w:r>
        <w:br/>
      </w:r>
      <w:r>
        <w:br/>
      </w:r>
      <w:r>
        <w:rPr>
          <w:rStyle w:val="CommentTok"/>
        </w:rPr>
        <w:t xml:space="preserve"># Step 3: Assign Virtual Machine Administrator Login as PIM-eligible</w:t>
      </w:r>
      <w:r>
        <w:br/>
      </w:r>
      <w:r>
        <w:rPr>
          <w:rStyle w:val="CommentTok"/>
        </w:rPr>
        <w:t xml:space="preserve"># This uses the Azure RBAC PIM API (resource-scoped PIM)</w:t>
      </w:r>
      <w:r>
        <w:br/>
      </w:r>
      <w:r>
        <w:rPr>
          <w:rStyle w:val="VariableTok"/>
        </w:rPr>
        <w:t xml:space="preserve">$vmAdminLoginRoleId</w:t>
      </w:r>
      <w:r>
        <w:rPr>
          <w:rStyle w:val="NormalTok"/>
        </w:rPr>
        <w:t xml:space="preserve"> </w:t>
      </w:r>
      <w:r>
        <w:rPr>
          <w:rStyle w:val="OperatorTok"/>
        </w:rPr>
        <w:t xml:space="preserve">=</w:t>
      </w:r>
      <w:r>
        <w:rPr>
          <w:rStyle w:val="NormalTok"/>
        </w:rPr>
        <w:t xml:space="preserve"> </w:t>
      </w:r>
      <w:r>
        <w:rPr>
          <w:rStyle w:val="StringTok"/>
        </w:rPr>
        <w:t xml:space="preserve">"1c0163c0-47e6-4577-8991-ea5c82e286e4"</w:t>
      </w:r>
      <w:r>
        <w:rPr>
          <w:rStyle w:val="NormalTok"/>
        </w:rPr>
        <w:t xml:space="preserve">  </w:t>
      </w:r>
      <w:r>
        <w:rPr>
          <w:rStyle w:val="CommentTok"/>
        </w:rPr>
        <w:t xml:space="preserve"># Virtual Machine Administrator Login</w:t>
      </w:r>
      <w:r>
        <w:br/>
      </w:r>
      <w:r>
        <w:br/>
      </w:r>
      <w:r>
        <w:rPr>
          <w:rStyle w:val="VariableTok"/>
        </w:rPr>
        <w:t xml:space="preserve">$resourceId</w:t>
      </w:r>
      <w:r>
        <w:rPr>
          <w:rStyle w:val="NormalTok"/>
        </w:rPr>
        <w:t xml:space="preserve">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/providers/Microsoft.HybridCompute/machines/</w:t>
      </w:r>
      <w:r>
        <w:rPr>
          <w:rStyle w:val="VariableTok"/>
        </w:rPr>
        <w:t xml:space="preserve">$arcServerName</w:t>
      </w:r>
      <w:r>
        <w:rPr>
          <w:rStyle w:val="StringTok"/>
        </w:rPr>
        <w:t xml:space="preserve">"</w:t>
      </w:r>
      <w:r>
        <w:br/>
      </w:r>
      <w:r>
        <w:br/>
      </w:r>
      <w:r>
        <w:rPr>
          <w:rStyle w:val="CommentTok"/>
        </w:rPr>
        <w:t xml:space="preserve"># Create PIM eligible assignment at resource scope</w:t>
      </w:r>
      <w:r>
        <w:br/>
      </w:r>
      <w:r>
        <w:rPr>
          <w:rStyle w:val="VariableTok"/>
        </w:rPr>
        <w:t xml:space="preserve">$pimEligibleBody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$adminUser</w:t>
      </w:r>
      <w:r>
        <w:rPr>
          <w:rStyle w:val="OperatorTok"/>
        </w:rPr>
        <w:t xml:space="preserve">.</w:t>
      </w:r>
      <w:r>
        <w:rPr>
          <w:rStyle w:val="FunctionTok"/>
        </w:rPr>
        <w:t xml:space="preserve">Id</w:t>
      </w:r>
      <w:r>
        <w:br/>
      </w:r>
      <w:r>
        <w:rPr>
          <w:rStyle w:val="NormalTok"/>
        </w:rPr>
        <w:t xml:space="preserve">        roleDefinitionId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/providers/Microsoft.Authorization/roleDefinitions/</w:t>
      </w:r>
      <w:r>
        <w:rPr>
          <w:rStyle w:val="VariableTok"/>
        </w:rPr>
        <w:t xml:space="preserve">$vmAdminLoginRoleId</w:t>
      </w:r>
      <w:r>
        <w:rPr>
          <w:rStyle w:val="StringTok"/>
        </w:rPr>
        <w:t xml:space="preserve">"</w:t>
      </w:r>
      <w:r>
        <w:br/>
      </w:r>
      <w:r>
        <w:rPr>
          <w:rStyle w:val="NormalTok"/>
        </w:rPr>
        <w:t xml:space="preserve">        requestType         </w:t>
      </w:r>
      <w:r>
        <w:rPr>
          <w:rStyle w:val="OperatorTok"/>
        </w:rPr>
        <w:t xml:space="preserve">=</w:t>
      </w:r>
      <w:r>
        <w:rPr>
          <w:rStyle w:val="NormalTok"/>
        </w:rPr>
        <w:t xml:space="preserve"> </w:t>
      </w:r>
      <w:r>
        <w:rPr>
          <w:rStyle w:val="StringTok"/>
        </w:rPr>
        <w:t xml:space="preserve">"AdminAssign"</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justification       </w:t>
      </w:r>
      <w:r>
        <w:rPr>
          <w:rStyle w:val="OperatorTok"/>
        </w:rPr>
        <w:t xml:space="preserve">=</w:t>
      </w:r>
      <w:r>
        <w:rPr>
          <w:rStyle w:val="NormalTok"/>
        </w:rPr>
        <w:t xml:space="preserve"> </w:t>
      </w:r>
      <w:r>
        <w:rPr>
          <w:rStyle w:val="StringTok"/>
        </w:rPr>
        <w:t xml:space="preserve">"JIT admin access for Arc server </w:t>
      </w:r>
      <w:r>
        <w:rPr>
          <w:rStyle w:val="VariableTok"/>
        </w:rPr>
        <w:t xml:space="preserve">$arcServerName</w:t>
      </w:r>
      <w:r>
        <w:rPr>
          <w:rStyle w:val="StringTok"/>
        </w:rPr>
        <w:t xml:space="preserve"> per PAM policy"</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$eligibilityUri</w:t>
      </w:r>
      <w:r>
        <w:rPr>
          <w:rStyle w:val="NormalTok"/>
        </w:rPr>
        <w:t xml:space="preserve"> </w:t>
      </w:r>
      <w:r>
        <w:rPr>
          <w:rStyle w:val="OperatorTok"/>
        </w:rPr>
        <w:t xml:space="preserve">=</w:t>
      </w:r>
      <w:r>
        <w:rPr>
          <w:rStyle w:val="NormalTok"/>
        </w:rPr>
        <w:t xml:space="preserve"> </w:t>
      </w:r>
      <w:r>
        <w:rPr>
          <w:rStyle w:val="StringTok"/>
        </w:rPr>
        <w:t xml:space="preserve">"https://management.azure.com</w:t>
      </w:r>
      <w:r>
        <w:rPr>
          <w:rStyle w:val="VariableTok"/>
        </w:rPr>
        <w:t xml:space="preserve">$resourceId</w:t>
      </w:r>
      <w:r>
        <w:rPr>
          <w:rStyle w:val="StringTok"/>
        </w:rPr>
        <w:t xml:space="preserve">/providers/Microsoft.Authorization/roleEligibilityScheduleRequests/</w:t>
      </w:r>
      <w:r>
        <w:rPr>
          <w:rStyle w:val="OperatorTok"/>
        </w:rPr>
        <w:t xml:space="preserve">$(</w:t>
      </w:r>
      <w:r>
        <w:rPr>
          <w:rStyle w:val="NormalTok"/>
        </w:rPr>
        <w:t xml:space="preserve">New-Guid</w:t>
      </w:r>
      <w:r>
        <w:rPr>
          <w:rStyle w:val="OperatorTok"/>
        </w:rPr>
        <w:t xml:space="preserve">)</w:t>
      </w:r>
      <w:r>
        <w:rPr>
          <w:rStyle w:val="StringTok"/>
        </w:rPr>
        <w:t xml:space="preserve">?api-version=2020-10-01"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$eligibilityUri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$pimEligibleBody</w:t>
      </w:r>
      <w:r>
        <w:br/>
      </w:r>
      <w:r>
        <w:rPr>
          <w:rStyle w:val="FunctionTok"/>
        </w:rPr>
        <w:t xml:space="preserve">Write-Host</w:t>
      </w:r>
      <w:r>
        <w:rPr>
          <w:rStyle w:val="NormalTok"/>
        </w:rPr>
        <w:t xml:space="preserve"> </w:t>
      </w:r>
      <w:r>
        <w:rPr>
          <w:rStyle w:val="StringTok"/>
        </w:rPr>
        <w:t xml:space="preserve">"PIM eligible assignment created for </w:t>
      </w:r>
      <w:r>
        <w:rPr>
          <w:rStyle w:val="VariableTok"/>
        </w:rPr>
        <w:t xml:space="preserve">$adminUpn</w:t>
      </w:r>
      <w:r>
        <w:rPr>
          <w:rStyle w:val="StringTok"/>
        </w:rPr>
        <w:t xml:space="preserve"> on </w:t>
      </w:r>
      <w:r>
        <w:rPr>
          <w:rStyle w:val="VariableTok"/>
        </w:rPr>
        <w:t xml:space="preserve">$arcServerName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4: Disable the built-in local Administrator account on the host</w:t>
      </w:r>
      <w:r>
        <w:br/>
      </w:r>
      <w:r>
        <w:rPr>
          <w:rStyle w:val="CommentTok"/>
        </w:rPr>
        <w:t xml:space="preserve"># Run this via Arc Run Command -- does not require local connectivity</w:t>
      </w:r>
      <w:r>
        <w:br/>
      </w:r>
      <w:r>
        <w:rPr>
          <w:rStyle w:val="VariableTok"/>
        </w:rPr>
        <w:t xml:space="preserve">$disableLocalAdminScript</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 Disable local Administrator account</w:t>
      </w:r>
      <w:r>
        <w:br/>
      </w:r>
      <w:r>
        <w:rPr>
          <w:rStyle w:val="VerbatimStringTok"/>
        </w:rPr>
        <w:t xml:space="preserve">$adminAccount = Get-LocalUser -Name "Administrator" -ErrorAction SilentlyContinue</w:t>
      </w:r>
      <w:r>
        <w:br/>
      </w:r>
      <w:r>
        <w:rPr>
          <w:rStyle w:val="VerbatimStringTok"/>
        </w:rPr>
        <w:t xml:space="preserve">if ($adminAccount -and $adminAccount.Enabled) {</w:t>
      </w:r>
      <w:r>
        <w:br/>
      </w:r>
      <w:r>
        <w:rPr>
          <w:rStyle w:val="VerbatimStringTok"/>
        </w:rPr>
        <w:t xml:space="preserve">    Disable-LocalUser -Name "Administrator"</w:t>
      </w:r>
      <w:r>
        <w:br/>
      </w:r>
      <w:r>
        <w:rPr>
          <w:rStyle w:val="VerbatimStringTok"/>
        </w:rPr>
        <w:t xml:space="preserve">    Write-Output "Local Administrator account disabled."</w:t>
      </w:r>
      <w:r>
        <w:br/>
      </w:r>
      <w:r>
        <w:rPr>
          <w:rStyle w:val="VerbatimStringTok"/>
        </w:rPr>
        <w:t xml:space="preserve">} else {</w:t>
      </w:r>
      <w:r>
        <w:br/>
      </w:r>
      <w:r>
        <w:rPr>
          <w:rStyle w:val="VerbatimStringTok"/>
        </w:rPr>
        <w:t xml:space="preserve">    Write-Output "Local Administrator account already disabled or not found."</w:t>
      </w:r>
      <w:r>
        <w:br/>
      </w:r>
      <w:r>
        <w:rPr>
          <w:rStyle w:val="VerbatimStringTok"/>
        </w:rPr>
        <w:t xml:space="preserve">}</w:t>
      </w:r>
      <w:r>
        <w:br/>
      </w:r>
      <w:r>
        <w:br/>
      </w:r>
      <w:r>
        <w:rPr>
          <w:rStyle w:val="VerbatimStringTok"/>
        </w:rPr>
        <w:t xml:space="preserve"># Verify no other local admin accounts exist (except Arc-managed)</w:t>
      </w:r>
      <w:r>
        <w:br/>
      </w:r>
      <w:r>
        <w:rPr>
          <w:rStyle w:val="VerbatimStringTok"/>
        </w:rPr>
        <w:t xml:space="preserve">$localAdmins = Get-LocalGroupMember -Group "Administrators" |</w:t>
      </w:r>
      <w:r>
        <w:br/>
      </w:r>
      <w:r>
        <w:rPr>
          <w:rStyle w:val="VerbatimStringTok"/>
        </w:rPr>
        <w:t xml:space="preserve">    Where-Object { $_.PrincipalSource -eq "Local" -and $_.Name -notmatch "Administrator" }</w:t>
      </w:r>
      <w:r>
        <w:br/>
      </w:r>
      <w:r>
        <w:br/>
      </w:r>
      <w:r>
        <w:rPr>
          <w:rStyle w:val="VerbatimStringTok"/>
        </w:rPr>
        <w:t xml:space="preserve">if ($localAdmins) {</w:t>
      </w:r>
      <w:r>
        <w:br/>
      </w:r>
      <w:r>
        <w:rPr>
          <w:rStyle w:val="VerbatimStringTok"/>
        </w:rPr>
        <w:t xml:space="preserve">    Write-Warning "Additional local admin accounts found:"</w:t>
      </w:r>
      <w:r>
        <w:br/>
      </w:r>
      <w:r>
        <w:rPr>
          <w:rStyle w:val="VerbatimStringTok"/>
        </w:rPr>
        <w:t xml:space="preserve">    $localAdmins | ForEach-Object { Write-Warning "  $($_.Name)" }</w:t>
      </w:r>
      <w:r>
        <w:br/>
      </w:r>
      <w:r>
        <w:rPr>
          <w:rStyle w:val="VerbatimStringTok"/>
        </w:rPr>
        <w:t xml:space="preserve">} else {</w:t>
      </w:r>
      <w:r>
        <w:br/>
      </w:r>
      <w:r>
        <w:rPr>
          <w:rStyle w:val="VerbatimStringTok"/>
        </w:rPr>
        <w:t xml:space="preserve">    Write-Output "No unauthorized local admin accounts found."</w:t>
      </w:r>
      <w:r>
        <w:br/>
      </w:r>
      <w:r>
        <w:rPr>
          <w:rStyle w:val="VerbatimStringTok"/>
        </w:rPr>
        <w:t xml:space="preserve">}</w:t>
      </w:r>
      <w:r>
        <w:br/>
      </w:r>
      <w:r>
        <w:rPr>
          <w:rStyle w:val="VerbatimStringTok"/>
        </w:rPr>
        <w:t xml:space="preserve">'@</w:t>
      </w:r>
      <w:r>
        <w:br/>
      </w:r>
      <w:r>
        <w:br/>
      </w:r>
      <w:r>
        <w:rPr>
          <w:rStyle w:val="VariableTok"/>
        </w:rPr>
        <w:t xml:space="preserve">$runCommandParams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ResourceGroupName </w:t>
      </w:r>
      <w:r>
        <w:rPr>
          <w:rStyle w:val="OperatorTok"/>
        </w:rPr>
        <w:t xml:space="preserve">=</w:t>
      </w:r>
      <w:r>
        <w:rPr>
          <w:rStyle w:val="NormalTok"/>
        </w:rPr>
        <w:t xml:space="preserve"> </w:t>
      </w:r>
      <w:r>
        <w:rPr>
          <w:rStyle w:val="VariableTok"/>
        </w:rPr>
        <w:t xml:space="preserve">$resourceGroup</w:t>
      </w:r>
      <w:r>
        <w:br/>
      </w:r>
      <w:r>
        <w:rPr>
          <w:rStyle w:val="NormalTok"/>
        </w:rPr>
        <w:t xml:space="preserve">    MachineName       </w:t>
      </w:r>
      <w:r>
        <w:rPr>
          <w:rStyle w:val="OperatorTok"/>
        </w:rPr>
        <w:t xml:space="preserve">=</w:t>
      </w:r>
      <w:r>
        <w:rPr>
          <w:rStyle w:val="NormalTok"/>
        </w:rPr>
        <w:t xml:space="preserve"> </w:t>
      </w:r>
      <w:r>
        <w:rPr>
          <w:rStyle w:val="VariableTok"/>
        </w:rPr>
        <w:t xml:space="preserve">$arcServerName</w:t>
      </w:r>
      <w:r>
        <w:br/>
      </w:r>
      <w:r>
        <w:rPr>
          <w:rStyle w:val="NormalTok"/>
        </w:rPr>
        <w:t xml:space="preserve">    RunCommandName    </w:t>
      </w:r>
      <w:r>
        <w:rPr>
          <w:rStyle w:val="OperatorTok"/>
        </w:rPr>
        <w:t xml:space="preserve">=</w:t>
      </w:r>
      <w:r>
        <w:rPr>
          <w:rStyle w:val="NormalTok"/>
        </w:rPr>
        <w:t xml:space="preserve"> </w:t>
      </w:r>
      <w:r>
        <w:rPr>
          <w:rStyle w:val="StringTok"/>
        </w:rPr>
        <w:t xml:space="preserve">"DisableLocalAdmin-</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yyyyMMddHHmm</w:t>
      </w:r>
      <w:r>
        <w:rPr>
          <w:rStyle w:val="OperatorTok"/>
        </w:rPr>
        <w:t xml:space="preserve">)</w:t>
      </w:r>
      <w:r>
        <w:rPr>
          <w:rStyle w:val="StringTok"/>
        </w:rPr>
        <w:t xml:space="preserve">"</w:t>
      </w:r>
      <w:r>
        <w:br/>
      </w:r>
      <w:r>
        <w:rPr>
          <w:rStyle w:val="NormalTok"/>
        </w:rPr>
        <w:t xml:space="preserve">    Location          </w:t>
      </w:r>
      <w:r>
        <w:rPr>
          <w:rStyle w:val="OperatorTok"/>
        </w:rPr>
        <w:t xml:space="preserve">=</w:t>
      </w:r>
      <w:r>
        <w:rPr>
          <w:rStyle w:val="NormalTok"/>
        </w:rPr>
        <w:t xml:space="preserve"> </w:t>
      </w:r>
      <w:r>
        <w:rPr>
          <w:rStyle w:val="VariableTok"/>
        </w:rPr>
        <w:t xml:space="preserve">$arcServer</w:t>
      </w:r>
      <w:r>
        <w:rPr>
          <w:rStyle w:val="OperatorTok"/>
        </w:rPr>
        <w:t xml:space="preserve">.</w:t>
      </w:r>
      <w:r>
        <w:rPr>
          <w:rStyle w:val="FunctionTok"/>
        </w:rPr>
        <w:t xml:space="preserve">Location</w:t>
      </w:r>
      <w:r>
        <w:br/>
      </w:r>
      <w:r>
        <w:rPr>
          <w:rStyle w:val="NormalTok"/>
        </w:rPr>
        <w:t xml:space="preserve">    Script            </w:t>
      </w:r>
      <w:r>
        <w:rPr>
          <w:rStyle w:val="OperatorTok"/>
        </w:rPr>
        <w:t xml:space="preserve">=</w:t>
      </w:r>
      <w:r>
        <w:rPr>
          <w:rStyle w:val="NormalTok"/>
        </w:rPr>
        <w:t xml:space="preserve"> </w:t>
      </w:r>
      <w:r>
        <w:rPr>
          <w:rStyle w:val="OperatorTok"/>
        </w:rPr>
        <w:t xml:space="preserve">@(</w:t>
      </w:r>
      <w:r>
        <w:rPr>
          <w:rStyle w:val="VariableTok"/>
        </w:rPr>
        <w:t xml:space="preserve">$disableLocalAdminScript</w:t>
      </w:r>
      <w:r>
        <w:rPr>
          <w:rStyle w:val="OperatorTok"/>
        </w:rPr>
        <w:t xml:space="preserve">)</w:t>
      </w:r>
      <w:r>
        <w:br/>
      </w:r>
      <w:r>
        <w:rPr>
          <w:rStyle w:val="OperatorTok"/>
        </w:rPr>
        <w:t xml:space="preserve">}</w:t>
      </w:r>
      <w:r>
        <w:br/>
      </w:r>
      <w:r>
        <w:br/>
      </w:r>
      <w:r>
        <w:rPr>
          <w:rStyle w:val="NormalTok"/>
        </w:rPr>
        <w:t xml:space="preserve">Invoke-AzConnectedMachineRunCommand @runCommandParams</w:t>
      </w:r>
    </w:p>
    <w:bookmarkEnd w:id="28"/>
    <w:bookmarkStart w:id="29" w:name="jit-session-flow-for-operators"/>
    <w:p>
      <w:pPr>
        <w:pStyle w:val="Heading2"/>
      </w:pPr>
      <w:r>
        <w:t xml:space="preserve">JIT Session Flow for Operators</w:t>
      </w:r>
    </w:p>
    <w:p>
      <w:pPr>
        <w:pStyle w:val="FirstParagraph"/>
      </w:pPr>
      <w:r>
        <w:t xml:space="preserve">Once JIT is configured, the operator workflow is:</w:t>
      </w:r>
    </w:p>
    <w:p>
      <w:pPr>
        <w:pStyle w:val="Compact"/>
        <w:numPr>
          <w:ilvl w:val="0"/>
          <w:numId w:val="1004"/>
        </w:numPr>
      </w:pPr>
      <w:r>
        <w:t xml:space="preserve">Open the Entra ID portal or My Access (myaccess.microsoft.com) and request activation of the</w:t>
      </w:r>
      <w:r>
        <w:t xml:space="preserve"> </w:t>
      </w:r>
      <w:r>
        <w:rPr>
          <w:rStyle w:val="VerbatimChar"/>
        </w:rPr>
        <w:t xml:space="preserve">Virtual Machine Administrator Login</w:t>
      </w:r>
      <w:r>
        <w:t xml:space="preserve"> </w:t>
      </w:r>
      <w:r>
        <w:t xml:space="preserve">role for the specific Arc server resource.</w:t>
      </w:r>
    </w:p>
    <w:p>
      <w:pPr>
        <w:pStyle w:val="Compact"/>
        <w:numPr>
          <w:ilvl w:val="0"/>
          <w:numId w:val="1004"/>
        </w:numPr>
      </w:pPr>
      <w:r>
        <w:t xml:space="preserve">Complete MFA re-authentication and provide justification.</w:t>
      </w:r>
    </w:p>
    <w:p>
      <w:pPr>
        <w:pStyle w:val="Compact"/>
        <w:numPr>
          <w:ilvl w:val="0"/>
          <w:numId w:val="1004"/>
        </w:numPr>
      </w:pPr>
      <w:r>
        <w:t xml:space="preserve">Wait for activation confirmation (immediate if no approver required, otherwise wait for approval notification).</w:t>
      </w:r>
    </w:p>
    <w:p>
      <w:pPr>
        <w:pStyle w:val="Compact"/>
        <w:numPr>
          <w:ilvl w:val="0"/>
          <w:numId w:val="1004"/>
        </w:numPr>
      </w:pPr>
      <w:r>
        <w:t xml:space="preserve">Connect using the Arc SSH or RDP command:</w:t>
      </w:r>
    </w:p>
    <w:p>
      <w:pPr>
        <w:pStyle w:val="SourceCode"/>
      </w:pPr>
      <w:r>
        <w:rPr>
          <w:rStyle w:val="CommentTok"/>
        </w:rPr>
        <w:t xml:space="preserve"># SSH via Arc -- requires Az CLI with ssh extension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w:t>
      </w:r>
      <w:r>
        <w:br/>
      </w:r>
      <w:r>
        <w:br/>
      </w:r>
      <w:r>
        <w:rPr>
          <w:rStyle w:val="CommentTok"/>
        </w:rPr>
        <w:t xml:space="preserve"># RDP via Arc -- opens proxied RDP session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 </w:t>
      </w:r>
      <w:r>
        <w:rPr>
          <w:rStyle w:val="OperatorTok"/>
        </w:rPr>
        <w:t xml:space="preserve">--</w:t>
      </w:r>
      <w:r>
        <w:rPr>
          <w:rStyle w:val="NormalTok"/>
        </w:rPr>
        <w:t xml:space="preserve">rdp</w:t>
      </w:r>
    </w:p>
    <w:p>
      <w:pPr>
        <w:pStyle w:val="FirstParagraph"/>
      </w:pPr>
      <w:r>
        <w:t xml:space="preserve">The session credential is derived from the PIM activation token. If the PIM activation window expires while the session is active, the next re-authentication attempt fails. The operator must request a new PIM activation to continue.</w:t>
      </w:r>
    </w:p>
    <w:p>
      <w:pPr>
        <w:pStyle w:val="BodyText"/>
      </w:pPr>
      <w:r>
        <w:rPr>
          <w:b/>
          <w:bCs/>
        </w:rPr>
        <w:t xml:space="preserve">No Public Ports Required</w:t>
      </w:r>
      <w:r>
        <w:t xml:space="preserve"> </w:t>
      </w:r>
      <w:r>
        <w:t xml:space="preserve">— Arc JIT sessions route through the Arc connectivity layer to the Azure control plane. The host does not need an exposed SSH port (TCP 22) or RDP port (TCP 3389) on any network interface. The only required egress from the host is HTTPS (TCP 443) to Arc management endpoints. This eliminates the most commonly exploited server attack vector: publicly accessible management ports.</w:t>
      </w:r>
    </w:p>
    <w:bookmarkEnd w:id="29"/>
    <w:bookmarkEnd w:id="30"/>
    <w:bookmarkStart w:id="36" w:name="privileged-access-workstation-baseline"/>
    <w:p>
      <w:pPr>
        <w:pStyle w:val="Heading1"/>
      </w:pPr>
      <w:r>
        <w:t xml:space="preserve">Privileged Access Workstation Baseline</w:t>
      </w:r>
    </w:p>
    <w:bookmarkStart w:id="31" w:name="what-a-paw-is"/>
    <w:p>
      <w:pPr>
        <w:pStyle w:val="Heading2"/>
      </w:pPr>
      <w:r>
        <w:t xml:space="preserve">What a PAW Is</w:t>
      </w:r>
    </w:p>
    <w:p>
      <w:pPr>
        <w:pStyle w:val="FirstParagraph"/>
      </w:pPr>
      <w:r>
        <w:t xml:space="preserve">A Privileged Access Workstation is a dedicated, hardened computing device used exclusively for administrative tasks. It is not a general-purpose workstation. Email, web browsing, productivity applications, and anything not directly related to administrative tool use are prohibited on a PAW.</w:t>
      </w:r>
    </w:p>
    <w:p>
      <w:pPr>
        <w:pStyle w:val="BodyText"/>
      </w:pPr>
      <w:r>
        <w:t xml:space="preserve">The trust model for a PAW differs from a standard workstation in one fundamental way: the PAW’s device identity is itself a security control. A Conditional Access policy can require that PIM activation and administrative portal access occur only from a device with a valid PAW compliance certificate. An attacker who has compromised a user’s credentials cannot activate a PIM role from a non-PAW device, even if they have completed MFA — because the device compliance check fails.</w:t>
      </w:r>
    </w:p>
    <w:p>
      <w:pPr>
        <w:pStyle w:val="BodyText"/>
      </w:pPr>
      <w:r>
        <w:t xml:space="preserve">This is the boundary between authentication-only security (what the Volume I and Volume II books deliver) and device-bound security (what the PAW delivers): the device itself is an additional authentication factor for privileged actions.</w:t>
      </w:r>
    </w:p>
    <w:bookmarkEnd w:id="31"/>
    <w:bookmarkStart w:id="32" w:name="paw-hardware-and-os-baseline"/>
    <w:p>
      <w:pPr>
        <w:pStyle w:val="Heading2"/>
      </w:pPr>
      <w:r>
        <w:t xml:space="preserve">PAW Hardware and OS Baseline</w:t>
      </w:r>
    </w:p>
    <w:p>
      <w:pPr>
        <w:pStyle w:val="FirstParagraph"/>
      </w:pPr>
      <w:r>
        <w:t xml:space="preserve">A PAW requires dedicated hardware. It cannot be a virtual machine on a shared hypervisor — the hypervisor’s management layer would then be a higher-trust target than the PAW. Recommended minimum:</w:t>
      </w:r>
    </w:p>
    <w:p>
      <w:pPr>
        <w:pStyle w:val="Compact"/>
        <w:numPr>
          <w:ilvl w:val="0"/>
          <w:numId w:val="1005"/>
        </w:numPr>
      </w:pPr>
      <w:r>
        <w:t xml:space="preserve">Dedicated physical laptop or workstation, not shared</w:t>
      </w:r>
    </w:p>
    <w:p>
      <w:pPr>
        <w:pStyle w:val="Compact"/>
        <w:numPr>
          <w:ilvl w:val="0"/>
          <w:numId w:val="1005"/>
        </w:numPr>
      </w:pPr>
      <w:r>
        <w:t xml:space="preserve">Secure Boot enabled, Trusted Platform Module (TPM) 2.0 present</w:t>
      </w:r>
    </w:p>
    <w:p>
      <w:pPr>
        <w:pStyle w:val="Compact"/>
        <w:numPr>
          <w:ilvl w:val="0"/>
          <w:numId w:val="1005"/>
        </w:numPr>
      </w:pPr>
      <w:r>
        <w:t xml:space="preserve">Windows 11 Pro or Enterprise (Windows 10 is acceptable for transition; Windows 11 is the target)</w:t>
      </w:r>
    </w:p>
    <w:p>
      <w:pPr>
        <w:pStyle w:val="Compact"/>
        <w:numPr>
          <w:ilvl w:val="0"/>
          <w:numId w:val="1005"/>
        </w:numPr>
      </w:pPr>
      <w:r>
        <w:t xml:space="preserve">Entra ID Joined (not hybrid-joined; the PAW must not require a domain controller)</w:t>
      </w:r>
    </w:p>
    <w:p>
      <w:pPr>
        <w:pStyle w:val="Compact"/>
        <w:numPr>
          <w:ilvl w:val="0"/>
          <w:numId w:val="1005"/>
        </w:numPr>
      </w:pPr>
      <w:r>
        <w:t xml:space="preserve">Intune-managed (MDM enrollment required for compliance policy enforcement)</w:t>
      </w:r>
    </w:p>
    <w:bookmarkEnd w:id="32"/>
    <w:bookmarkStart w:id="33" w:name="intune-compliance-policy-for-paw"/>
    <w:p>
      <w:pPr>
        <w:pStyle w:val="Heading2"/>
      </w:pPr>
      <w:r>
        <w:t xml:space="preserve">Intune Compliance Policy for PAW</w:t>
      </w:r>
    </w:p>
    <w:p>
      <w:pPr>
        <w:pStyle w:val="FirstParagraph"/>
      </w:pPr>
      <w:r>
        <w:t xml:space="preserve">The PAW compliance policy enforces the hardened baseline through Intune device compliance rules. Non-compliant devices fail the Conditional Access check and cannot access the privileged portal or activate PIM roles.</w:t>
      </w:r>
    </w:p>
    <w:p>
      <w:pPr>
        <w:pStyle w:val="SourceCode"/>
      </w:pPr>
      <w:r>
        <w:rPr>
          <w:rStyle w:val="CommentTok"/>
        </w:rPr>
        <w:t xml:space="preserve"># Create Intune device compliance policy for PAW baseline</w:t>
      </w:r>
      <w:r>
        <w:br/>
      </w:r>
      <w:r>
        <w:rPr>
          <w:rStyle w:val="CommentTok"/>
        </w:rPr>
        <w:t xml:space="preserve"># Requires: DeviceManagementConfiguration.ReadWrite.All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DeviceManagement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"DeviceManagementConfiguration.ReadWrite.All"</w:t>
      </w:r>
      <w:r>
        <w:br/>
      </w:r>
      <w:r>
        <w:br/>
      </w:r>
      <w:r>
        <w:rPr>
          <w:rStyle w:val="VariableTok"/>
        </w:rPr>
        <w:t xml:space="preserve">$pawCompliancePolicy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"PAW Compliance Baseline"</w:t>
      </w:r>
      <w:r>
        <w:br/>
      </w:r>
      <w:r>
        <w:rPr>
          <w:rStyle w:val="NormalTok"/>
        </w:rPr>
        <w:t xml:space="preserve">    description                              </w:t>
      </w:r>
      <w:r>
        <w:rPr>
          <w:rStyle w:val="OperatorTok"/>
        </w:rPr>
        <w:t xml:space="preserve">=</w:t>
      </w:r>
      <w:r>
        <w:rPr>
          <w:rStyle w:val="NormalTok"/>
        </w:rPr>
        <w:t xml:space="preserve"> </w:t>
      </w:r>
      <w:r>
        <w:rPr>
          <w:rStyle w:val="StringTok"/>
        </w:rPr>
        <w:t xml:space="preserve">"Enforces PAW hardware and software controls for privileged access"</w:t>
      </w:r>
      <w:r>
        <w:br/>
      </w:r>
      <w:r>
        <w:br/>
      </w:r>
      <w:r>
        <w:rPr>
          <w:rStyle w:val="NormalTok"/>
        </w:rPr>
        <w:t xml:space="preserve">    </w:t>
      </w:r>
      <w:r>
        <w:rPr>
          <w:rStyle w:val="CommentTok"/>
        </w:rPr>
        <w:t xml:space="preserve"># BitLocker full-disk encryption required</w:t>
      </w:r>
      <w:r>
        <w:br/>
      </w:r>
      <w:r>
        <w:rPr>
          <w:rStyle w:val="NormalTok"/>
        </w:rPr>
        <w:t xml:space="preserve">    bitLockerEnabled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Secure Boot required</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TPM 2.0 required</w:t>
      </w:r>
      <w:r>
        <w:br/>
      </w:r>
      <w:r>
        <w:rPr>
          <w:rStyle w:val="NormalTok"/>
        </w:rPr>
        <w:t xml:space="preserve">    tpmRequired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Antivirus and antispyware required and up to date</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antivirusSignatureUpToDate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Windows Defender real-time protection required</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Minimum OS version -- Windows 10 22H2 baseline (set 10.0.22621 to require Windows 11 22H2)</w:t>
      </w:r>
      <w:r>
        <w:br/>
      </w:r>
      <w:r>
        <w:rPr>
          <w:rStyle w:val="NormalTok"/>
        </w:rPr>
        <w:t xml:space="preserve">    osMinimumVersion                         </w:t>
      </w:r>
      <w:r>
        <w:rPr>
          <w:rStyle w:val="OperatorTok"/>
        </w:rPr>
        <w:t xml:space="preserve">=</w:t>
      </w:r>
      <w:r>
        <w:rPr>
          <w:rStyle w:val="NormalTok"/>
        </w:rPr>
        <w:t xml:space="preserve"> </w:t>
      </w:r>
      <w:r>
        <w:rPr>
          <w:rStyle w:val="StringTok"/>
        </w:rPr>
        <w:t xml:space="preserve">"10.0.19045"</w:t>
      </w:r>
      <w:r>
        <w:rPr>
          <w:rStyle w:val="NormalTok"/>
        </w:rPr>
        <w:t xml:space="preserve">   </w:t>
      </w:r>
      <w:r>
        <w:rPr>
          <w:rStyle w:val="CommentTok"/>
        </w:rPr>
        <w:t xml:space="preserve"># Windows 10 22H2 minimum; set 10.0.22621 for Win11 22H2</w:t>
      </w:r>
      <w:r>
        <w:br/>
      </w:r>
      <w:r>
        <w:br/>
      </w:r>
      <w:r>
        <w:rPr>
          <w:rStyle w:val="NormalTok"/>
        </w:rPr>
        <w:t xml:space="preserve">    </w:t>
      </w:r>
      <w:r>
        <w:rPr>
          <w:rStyle w:val="CommentTok"/>
        </w:rPr>
        <w:t xml:space="preserve"># Code integrity / WDAC</w:t>
      </w:r>
      <w:r>
        <w:br/>
      </w:r>
      <w:r>
        <w:rPr>
          <w:rStyle w:val="NormalTok"/>
        </w:rPr>
        <w:t xml:space="preserve">    codeIntegrityEnabled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Mobile Threat Defense: require devices at or below the "secured" MTD risk level</w:t>
      </w:r>
      <w:r>
        <w:br/>
      </w:r>
      <w:r>
        <w:rPr>
          <w:rStyle w:val="NormalTok"/>
        </w:rPr>
        <w:t xml:space="preserve">    </w:t>
      </w:r>
      <w:r>
        <w:rPr>
          <w:rStyle w:val="CommentTok"/>
        </w:rPr>
        <w:t xml:space="preserve"># (Credential Guard / VBS is enforced separately via a Device Guard configuration profile)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"secured"</w:t>
      </w:r>
      <w:r>
        <w:br/>
      </w:r>
      <w:r>
        <w:br/>
      </w:r>
      <w:r>
        <w:rPr>
          <w:rStyle w:val="NormalTok"/>
        </w:rPr>
        <w:t xml:space="preserve">    </w:t>
      </w:r>
      <w:r>
        <w:rPr>
          <w:rStyle w:val="CommentTok"/>
        </w:rPr>
        <w:t xml:space="preserve"># Privileged-device password and idle-lock policy</w:t>
      </w:r>
      <w:r>
        <w:br/>
      </w:r>
      <w:r>
        <w:rPr>
          <w:rStyle w:val="NormalTok"/>
        </w:rPr>
        <w:t xml:space="preserve">    </w:t>
      </w:r>
      <w:r>
        <w:rPr>
          <w:rStyle w:val="CommentTok"/>
        </w:rPr>
        <w:t xml:space="preserve"># (the non-compliance grace period is configured separately in scheduledActionsForRule)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15</w:t>
      </w:r>
      <w:r>
        <w:br/>
      </w:r>
      <w:r>
        <w:rPr>
          <w:rStyle w:val="NormalTok"/>
        </w:rPr>
        <w:t xml:space="preserve">    passwordExpirationDays                   </w:t>
      </w:r>
      <w:r>
        <w:rPr>
          <w:rStyle w:val="OperatorTok"/>
        </w:rPr>
        <w:t xml:space="preserve">=</w:t>
      </w:r>
      <w:r>
        <w:rPr>
          <w:rStyle w:val="NormalTok"/>
        </w:rPr>
        <w:t xml:space="preserve"> </w:t>
      </w:r>
      <w:r>
        <w:rPr>
          <w:rStyle w:val="DecValTok"/>
        </w:rPr>
        <w:t xml:space="preserve">365</w:t>
      </w:r>
      <w:r>
        <w:br/>
      </w:r>
      <w:r>
        <w:rPr>
          <w:rStyle w:val="NormalTok"/>
        </w:rPr>
        <w:t xml:space="preserve">    passwordMinimumLength                    </w:t>
      </w:r>
      <w:r>
        <w:rPr>
          <w:rStyle w:val="OperatorTok"/>
        </w:rPr>
        <w:t xml:space="preserve">=</w:t>
      </w:r>
      <w:r>
        <w:rPr>
          <w:rStyle w:val="NormalTok"/>
        </w:rPr>
        <w:t xml:space="preserve"> </w:t>
      </w:r>
      <w:r>
        <w:rPr>
          <w:rStyle w:val="DecValTok"/>
        </w:rPr>
        <w:t xml:space="preserve">14</w:t>
      </w:r>
      <w:r>
        <w:br/>
      </w:r>
      <w:r>
        <w:rPr>
          <w:rStyle w:val="NormalTok"/>
        </w:rPr>
        <w:t xml:space="preserve">    passwordRequiredType                     </w:t>
      </w:r>
      <w:r>
        <w:rPr>
          <w:rStyle w:val="OperatorTok"/>
        </w:rPr>
        <w:t xml:space="preserve">=</w:t>
      </w:r>
      <w:r>
        <w:rPr>
          <w:rStyle w:val="NormalTok"/>
        </w:rPr>
        <w:t xml:space="preserve"> </w:t>
      </w:r>
      <w:r>
        <w:rPr>
          <w:rStyle w:val="StringTok"/>
        </w:rPr>
        <w:t xml:space="preserve">"alphanumeric"</w:t>
      </w:r>
      <w:r>
        <w:br/>
      </w:r>
      <w:r>
        <w:rPr>
          <w:rStyle w:val="OperatorTok"/>
        </w:rPr>
        <w:t xml:space="preserve">}</w:t>
      </w:r>
      <w:r>
        <w:br/>
      </w:r>
      <w:r>
        <w:br/>
      </w:r>
      <w:r>
        <w:rPr>
          <w:rStyle w:val="VariableTok"/>
        </w:rPr>
        <w:t xml:space="preserve">$newPolicy</w:t>
      </w:r>
      <w:r>
        <w:rPr>
          <w:rStyle w:val="NormalTok"/>
        </w:rPr>
        <w:t xml:space="preserve"> </w:t>
      </w:r>
      <w:r>
        <w:rPr>
          <w:rStyle w:val="OperatorTok"/>
        </w:rPr>
        <w:t xml:space="preserve">=</w:t>
      </w:r>
      <w:r>
        <w:rPr>
          <w:rStyle w:val="NormalTok"/>
        </w:rPr>
        <w:t xml:space="preserve"> New-MgDeviceManagementDeviceCompliancePolicy </w:t>
      </w:r>
      <w:r>
        <w:rPr>
          <w:rStyle w:val="OperatorTok"/>
        </w:rPr>
        <w:t xml:space="preserve">-</w:t>
      </w:r>
      <w:r>
        <w:rPr>
          <w:rStyle w:val="NormalTok"/>
        </w:rPr>
        <w:t xml:space="preserve">BodyParameter </w:t>
      </w:r>
      <w:r>
        <w:rPr>
          <w:rStyle w:val="VariableTok"/>
        </w:rPr>
        <w:t xml:space="preserve">$pawCompliancePolicy</w:t>
      </w:r>
      <w:r>
        <w:br/>
      </w:r>
      <w:r>
        <w:rPr>
          <w:rStyle w:val="FunctionTok"/>
        </w:rPr>
        <w:t xml:space="preserve">Write-Host</w:t>
      </w:r>
      <w:r>
        <w:rPr>
          <w:rStyle w:val="NormalTok"/>
        </w:rPr>
        <w:t xml:space="preserve"> </w:t>
      </w:r>
      <w:r>
        <w:rPr>
          <w:rStyle w:val="StringTok"/>
        </w:rPr>
        <w:t xml:space="preserve">"PAW compliance policy created: </w:t>
      </w:r>
      <w:r>
        <w:rPr>
          <w:rStyle w:val="OperatorTok"/>
        </w:rPr>
        <w:t xml:space="preserve">$(</w:t>
      </w:r>
      <w:r>
        <w:rPr>
          <w:rStyle w:val="VariableTok"/>
        </w:rPr>
        <w:t xml:space="preserve">$newPolicy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the compliance policy to the PAW device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rPr>
          <w:rStyle w:val="NormalTok"/>
        </w:rPr>
        <w:t xml:space="preserve">   </w:t>
      </w:r>
      <w:r>
        <w:rPr>
          <w:rStyle w:val="CommentTok"/>
        </w:rPr>
        <w:t xml:space="preserve"># Replace with actual PAW Entra group ID</w:t>
      </w:r>
      <w:r>
        <w:br/>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Set-MgDeviceManagementDeviceCompliancePolicyAssignment `</w:t>
      </w:r>
      <w:r>
        <w:br/>
      </w:r>
      <w:r>
        <w:rPr>
          <w:rStyle w:val="NormalTok"/>
        </w:rPr>
        <w:t xml:space="preserve">    </w:t>
      </w:r>
      <w:r>
        <w:rPr>
          <w:rStyle w:val="OperatorTok"/>
        </w:rPr>
        <w:t xml:space="preserve">-</w:t>
      </w:r>
      <w:r>
        <w:rPr>
          <w:rStyle w:val="NormalTok"/>
        </w:rPr>
        <w:t xml:space="preserve">DeviceCompliancePolicyId </w:t>
      </w:r>
      <w:r>
        <w:rPr>
          <w:rStyle w:val="VariableTok"/>
        </w:rPr>
        <w:t xml:space="preserve">$newPolicy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"PAW compliance policy assigned to PAW device group"</w:t>
      </w:r>
      <w:r>
        <w:rPr>
          <w:rStyle w:val="NormalTok"/>
        </w:rPr>
        <w:t xml:space="preserve"> </w:t>
      </w:r>
      <w:r>
        <w:rPr>
          <w:rStyle w:val="OperatorTok"/>
        </w:rPr>
        <w:t xml:space="preserve">-</w:t>
      </w:r>
      <w:r>
        <w:rPr>
          <w:rStyle w:val="NormalTok"/>
        </w:rPr>
        <w:t xml:space="preserve">ForegroundColor Green</w:t>
      </w:r>
    </w:p>
    <w:bookmarkEnd w:id="33"/>
    <w:bookmarkStart w:id="34" w:name="X16338231460849f824d85b83ab0473a6b28c989"/>
    <w:p>
      <w:pPr>
        <w:pStyle w:val="Heading2"/>
      </w:pPr>
      <w:r>
        <w:t xml:space="preserve">Windows Defender Application Control (WDAC) on PAW</w:t>
      </w:r>
    </w:p>
    <w:p>
      <w:pPr>
        <w:pStyle w:val="FirstParagraph"/>
      </w:pPr>
      <w:r>
        <w:t xml:space="preserve">A PAW should run only a minimal set of approved administrative tools. Windows Defender Application Control (WDAC) enforces an application allowlist: only code-signed applications in the allowlist can execute. Unsigned software, unapproved tools, and malware all fail to execute regardless of user privilege level.</w:t>
      </w:r>
    </w:p>
    <w:p>
      <w:pPr>
        <w:pStyle w:val="BodyText"/>
      </w:pPr>
      <w:r>
        <w:t xml:space="preserve">The PAW WDAC policy should allowlist:</w:t>
      </w:r>
    </w:p>
    <w:p>
      <w:pPr>
        <w:pStyle w:val="Compact"/>
        <w:numPr>
          <w:ilvl w:val="0"/>
          <w:numId w:val="1006"/>
        </w:numPr>
      </w:pPr>
      <w:r>
        <w:t xml:space="preserve">Microsoft-signed system binaries (Winload, NTOSKRNL, system32 DLLs)</w:t>
      </w:r>
    </w:p>
    <w:p>
      <w:pPr>
        <w:pStyle w:val="Compact"/>
        <w:numPr>
          <w:ilvl w:val="0"/>
          <w:numId w:val="1006"/>
        </w:numPr>
      </w:pPr>
      <w:r>
        <w:t xml:space="preserve">Azure CLI (Microsoft-signed)</w:t>
      </w:r>
    </w:p>
    <w:p>
      <w:pPr>
        <w:pStyle w:val="Compact"/>
        <w:numPr>
          <w:ilvl w:val="0"/>
          <w:numId w:val="1006"/>
        </w:numPr>
      </w:pPr>
      <w:r>
        <w:t xml:space="preserve">Azure PowerShell modules (Microsoft-signed)</w:t>
      </w:r>
    </w:p>
    <w:p>
      <w:pPr>
        <w:pStyle w:val="Compact"/>
        <w:numPr>
          <w:ilvl w:val="0"/>
          <w:numId w:val="1006"/>
        </w:numPr>
      </w:pPr>
      <w:r>
        <w:t xml:space="preserve">Microsoft Graph PowerShell SDK (Microsoft-signed)</w:t>
      </w:r>
    </w:p>
    <w:p>
      <w:pPr>
        <w:pStyle w:val="Compact"/>
        <w:numPr>
          <w:ilvl w:val="0"/>
          <w:numId w:val="1006"/>
        </w:numPr>
      </w:pPr>
      <w:r>
        <w:t xml:space="preserve">Edge browser (restricted to Application Guard mode for any web access)</w:t>
      </w:r>
    </w:p>
    <w:p>
      <w:pPr>
        <w:pStyle w:val="Compact"/>
        <w:numPr>
          <w:ilvl w:val="0"/>
          <w:numId w:val="1006"/>
        </w:numPr>
      </w:pPr>
      <w:r>
        <w:t xml:space="preserve">Entra ID portal progressive web app</w:t>
      </w:r>
    </w:p>
    <w:p>
      <w:pPr>
        <w:pStyle w:val="Compact"/>
        <w:numPr>
          <w:ilvl w:val="0"/>
          <w:numId w:val="1006"/>
        </w:numPr>
      </w:pPr>
      <w:r>
        <w:t xml:space="preserve">Remote Desktop client (for Arc RDP proxy sessions)</w:t>
      </w:r>
    </w:p>
    <w:p>
      <w:pPr>
        <w:pStyle w:val="Compact"/>
        <w:numPr>
          <w:ilvl w:val="0"/>
          <w:numId w:val="1006"/>
        </w:numPr>
      </w:pPr>
      <w:r>
        <w:t xml:space="preserve">Remote Server Administration Tools (RSAT) where required</w:t>
      </w:r>
    </w:p>
    <w:p>
      <w:pPr>
        <w:pStyle w:val="FirstParagraph"/>
      </w:pPr>
      <w:r>
        <w:t xml:space="preserve">Web browsing on a PAW should be constrained to Edge with Application Guard enabled — every browsing session runs in a Hyper-V isolated container and cannot access the PAW’s local storage, credentials, or installed applications.</w:t>
      </w:r>
    </w:p>
    <w:p>
      <w:pPr>
        <w:pStyle w:val="SourceCode"/>
      </w:pPr>
      <w:r>
        <w:rPr>
          <w:rStyle w:val="CommentTok"/>
        </w:rPr>
        <w:t xml:space="preserve"># Verify WDAC is enforced on a PAW (run on the PAW host)</w:t>
      </w:r>
      <w:r>
        <w:br/>
      </w:r>
      <w:r>
        <w:rPr>
          <w:rStyle w:val="VariableTok"/>
        </w:rPr>
        <w:t xml:space="preserve">$wdacStatus</w:t>
      </w:r>
      <w:r>
        <w:rPr>
          <w:rStyle w:val="NormalTok"/>
        </w:rPr>
        <w:t xml:space="preserve"> </w:t>
      </w:r>
      <w:r>
        <w:rPr>
          <w:rStyle w:val="OperatorTok"/>
        </w:rPr>
        <w:t xml:space="preserve">=</w:t>
      </w:r>
      <w:r>
        <w:rPr>
          <w:rStyle w:val="NormalTok"/>
        </w:rPr>
        <w:t xml:space="preserve"> </w:t>
      </w:r>
      <w:r>
        <w:rPr>
          <w:rStyle w:val="FunctionTok"/>
        </w:rPr>
        <w:t xml:space="preserve">Get-CimInstance</w:t>
      </w:r>
      <w:r>
        <w:rPr>
          <w:rStyle w:val="NormalTok"/>
        </w:rPr>
        <w:t xml:space="preserve"> </w:t>
      </w:r>
      <w:r>
        <w:rPr>
          <w:rStyle w:val="OperatorTok"/>
        </w:rPr>
        <w:t xml:space="preserve">-</w:t>
      </w:r>
      <w:r>
        <w:rPr>
          <w:rStyle w:val="NormalTok"/>
        </w:rPr>
        <w:t xml:space="preserve">ClassName Win32_DeviceGuard </w:t>
      </w:r>
      <w:r>
        <w:rPr>
          <w:rStyle w:val="OperatorTok"/>
        </w:rPr>
        <w:t xml:space="preserve">-</w:t>
      </w:r>
      <w:r>
        <w:rPr>
          <w:rStyle w:val="NormalTok"/>
        </w:rPr>
        <w:t xml:space="preserve">Namespace </w:t>
      </w:r>
      <w:r>
        <w:rPr>
          <w:rStyle w:val="StringTok"/>
        </w:rPr>
        <w:t xml:space="preserve">"root\Microsoft\Windows\DeviceGuard"</w:t>
      </w:r>
      <w:r>
        <w:br/>
      </w:r>
      <w:r>
        <w:br/>
      </w:r>
      <w:r>
        <w:rPr>
          <w:rStyle w:val="FunctionTok"/>
        </w:rPr>
        <w:t xml:space="preserve">Write-Host</w:t>
      </w:r>
      <w:r>
        <w:rPr>
          <w:rStyle w:val="NormalTok"/>
        </w:rPr>
        <w:t xml:space="preserve"> </w:t>
      </w:r>
      <w:r>
        <w:rPr>
          <w:rStyle w:val="StringTok"/>
        </w:rPr>
        <w:t xml:space="preserve">"Code Integrity Policy Enforcement Status: </w:t>
      </w:r>
      <w:r>
        <w:rPr>
          <w:rStyle w:val="OperatorTok"/>
        </w:rPr>
        <w:t xml:space="preserve">$(</w:t>
      </w:r>
      <w:r>
        <w:rPr>
          <w:rStyle w:val="VariableTok"/>
        </w:rPr>
        <w:t xml:space="preserve">$wdacStatus</w:t>
      </w:r>
      <w:r>
        <w:rPr>
          <w:rStyle w:val="OperatorTok"/>
        </w:rPr>
        <w:t xml:space="preserve">.</w:t>
      </w:r>
      <w:r>
        <w:rPr>
          <w:rStyle w:val="FunctionTok"/>
        </w:rPr>
        <w:t xml:space="preserve">CodeIntegrityPolicyEnforcementStatus</w:t>
      </w:r>
      <w:r>
        <w:rPr>
          <w:rStyle w:val="OperatorTok"/>
        </w:rPr>
        <w:t xml:space="preserve">)</w:t>
      </w:r>
      <w:r>
        <w:rPr>
          <w:rStyle w:val="StringTok"/>
        </w:rPr>
        <w:t xml:space="preserve">"</w:t>
      </w:r>
      <w:r>
        <w:br/>
      </w:r>
      <w:r>
        <w:rPr>
          <w:rStyle w:val="CommentTok"/>
        </w:rPr>
        <w:t xml:space="preserve"># Expected: 2 = enforced, 1 = audit mode, 0 = disabled</w:t>
      </w:r>
      <w:r>
        <w:br/>
      </w:r>
      <w:r>
        <w:br/>
      </w:r>
      <w:r>
        <w:rPr>
          <w:rStyle w:val="FunctionTok"/>
        </w:rPr>
        <w:t xml:space="preserve">Write-Host</w:t>
      </w:r>
      <w:r>
        <w:rPr>
          <w:rStyle w:val="NormalTok"/>
        </w:rPr>
        <w:t xml:space="preserve"> </w:t>
      </w:r>
      <w:r>
        <w:rPr>
          <w:rStyle w:val="StringTok"/>
        </w:rPr>
        <w:t xml:space="preserve">"User Mode Code Integrity: </w:t>
      </w:r>
      <w:r>
        <w:rPr>
          <w:rStyle w:val="OperatorTok"/>
        </w:rPr>
        <w:t xml:space="preserve">$(</w:t>
      </w:r>
      <w:r>
        <w:rPr>
          <w:rStyle w:val="VariableTok"/>
        </w:rPr>
        <w:t xml:space="preserve">$wdacStatus</w:t>
      </w:r>
      <w:r>
        <w:rPr>
          <w:rStyle w:val="OperatorTok"/>
        </w:rPr>
        <w:t xml:space="preserve">.</w:t>
      </w:r>
      <w:r>
        <w:rPr>
          <w:rStyle w:val="FunctionTok"/>
        </w:rPr>
        <w:t xml:space="preserve">UsermodeCodeIntegrityPolicyEnforcementStatus</w:t>
      </w:r>
      <w:r>
        <w:rPr>
          <w:rStyle w:val="OperatorTok"/>
        </w:rPr>
        <w:t xml:space="preserve">)</w:t>
      </w:r>
      <w:r>
        <w:rPr>
          <w:rStyle w:val="StringTok"/>
        </w:rPr>
        <w:t xml:space="preserve">"</w:t>
      </w:r>
      <w:r>
        <w:br/>
      </w:r>
      <w:r>
        <w:rPr>
          <w:rStyle w:val="CommentTok"/>
        </w:rPr>
        <w:t xml:space="preserve"># Expected: 2 = enforced</w:t>
      </w:r>
      <w:r>
        <w:br/>
      </w:r>
      <w:r>
        <w:br/>
      </w:r>
      <w:r>
        <w:rPr>
          <w:rStyle w:val="FunctionTok"/>
        </w:rPr>
        <w:t xml:space="preserve">Write-Host</w:t>
      </w:r>
      <w:r>
        <w:rPr>
          <w:rStyle w:val="NormalTok"/>
        </w:rPr>
        <w:t xml:space="preserve"> </w:t>
      </w:r>
      <w:r>
        <w:rPr>
          <w:rStyle w:val="StringTok"/>
        </w:rPr>
        <w:t xml:space="preserve">"Credential Guard: </w:t>
      </w:r>
      <w:r>
        <w:rPr>
          <w:rStyle w:val="OperatorTok"/>
        </w:rPr>
        <w:t xml:space="preserve">$(</w:t>
      </w:r>
      <w:r>
        <w:rPr>
          <w:rStyle w:val="VariableTok"/>
        </w:rPr>
        <w:t xml:space="preserve">$wdacStatus</w:t>
      </w:r>
      <w:r>
        <w:rPr>
          <w:rStyle w:val="OperatorTok"/>
        </w:rPr>
        <w:t xml:space="preserve">.</w:t>
      </w:r>
      <w:r>
        <w:rPr>
          <w:rStyle w:val="FunctionTok"/>
        </w:rPr>
        <w:t xml:space="preserve">SecurityServicesRunning</w:t>
      </w:r>
      <w:r>
        <w:rPr>
          <w:rStyle w:val="OperatorTok"/>
        </w:rPr>
        <w:t xml:space="preserve">)</w:t>
      </w:r>
      <w:r>
        <w:rPr>
          <w:rStyle w:val="StringTok"/>
        </w:rPr>
        <w:t xml:space="preserve">"</w:t>
      </w:r>
      <w:r>
        <w:br/>
      </w:r>
      <w:r>
        <w:rPr>
          <w:rStyle w:val="CommentTok"/>
        </w:rPr>
        <w:t xml:space="preserve"># Expected array includes 1 (Credential Guard) and 2 (HVCI)</w:t>
      </w:r>
    </w:p>
    <w:bookmarkEnd w:id="34"/>
    <w:bookmarkStart w:id="35" w:name="X7aa69cd78fa781570850573d82ee56ee6944d87"/>
    <w:p>
      <w:pPr>
        <w:pStyle w:val="Heading2"/>
      </w:pPr>
      <w:r>
        <w:t xml:space="preserve">Conditional Access Policy: PIM Activation Requires PAW</w:t>
      </w:r>
    </w:p>
    <w:p>
      <w:pPr>
        <w:pStyle w:val="FirstParagraph"/>
      </w:pPr>
      <w:r>
        <w:t xml:space="preserve">The PAW enforcement point is a Conditional Access policy that gates PIM activation and administrative portal access on device compliance. An administrator who has credentials and has completed MFA cannot activate a PIM role from a non-PAW device.</w:t>
      </w:r>
    </w:p>
    <w:p>
      <w:pPr>
        <w:pStyle w:val="SourceCode"/>
      </w:pPr>
      <w:r>
        <w:rPr>
          <w:rStyle w:val="CommentTok"/>
        </w:rPr>
        <w:t xml:space="preserve"># Create Conditional Access policy requiring PAW device compliance for PIM activation</w:t>
      </w:r>
      <w:r>
        <w:br/>
      </w:r>
      <w:r>
        <w:rPr>
          <w:rStyle w:val="CommentTok"/>
        </w:rPr>
        <w:t xml:space="preserve"># Requires: Policy.ReadWrite.ConditionalAccess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br/>
      </w:r>
      <w:r>
        <w:br/>
      </w:r>
      <w:r>
        <w:rPr>
          <w:rStyle w:val="VariableTok"/>
        </w:rPr>
        <w:t xml:space="preserve">$pawConditionalAccessPolicy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Require PAW for Privileged Role Activation"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rPr>
          <w:rStyle w:val="NormalTok"/>
        </w:rPr>
        <w:t xml:space="preserve">   </w:t>
      </w:r>
      <w:r>
        <w:rPr>
          <w:rStyle w:val="CommentTok"/>
        </w:rPr>
        <w:t xml:space="preserve"># Start in report-only mode</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Replace: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Replace: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Target: Microsoft Azure Management, Microsoft Graph, and the Entra ID portal</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Microsoft Azure Management</w:t>
      </w:r>
      <w:r>
        <w:br/>
      </w:r>
      <w:r>
        <w:rPr>
          <w:rStyle w:val="NormalTok"/>
        </w:rPr>
        <w:t xml:space="preserve">                </w:t>
      </w:r>
      <w:r>
        <w:rPr>
          <w:rStyle w:val="StringTok"/>
        </w:rPr>
        <w:t xml:space="preserve">"00000003-0000-0000-c000-000000000000"</w:t>
      </w:r>
      <w:r>
        <w:rPr>
          <w:rStyle w:val="OperatorTok"/>
        </w:rPr>
        <w:t xml:space="preserve">,</w:t>
      </w:r>
      <w:r>
        <w:rPr>
          <w:rStyle w:val="NormalTok"/>
        </w:rPr>
        <w:t xml:space="preserve">  </w:t>
      </w:r>
      <w:r>
        <w:rPr>
          <w:rStyle w:val="CommentTok"/>
        </w:rPr>
        <w:t xml:space="preserve"># Microsoft Graph</w:t>
      </w:r>
      <w:r>
        <w:br/>
      </w:r>
      <w:r>
        <w:rPr>
          <w:rStyle w:val="NormalTok"/>
        </w:rPr>
        <w:t xml:space="preserve">                </w:t>
      </w:r>
      <w:r>
        <w:rPr>
          <w:rStyle w:val="StringTok"/>
        </w:rPr>
        <w:t xml:space="preserve">"74658136-14ec-4630-ad9b-26e160ff0fc6"</w:t>
      </w:r>
      <w:r>
        <w:rPr>
          <w:rStyle w:val="NormalTok"/>
        </w:rPr>
        <w:t xml:space="preserve">   </w:t>
      </w:r>
      <w:r>
        <w:rPr>
          <w:rStyle w:val="CommentTok"/>
        </w:rPr>
        <w:t xml:space="preserve"># Azure AD portal (MicrosoftAzureActiveDirectory)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platforms </w:t>
      </w:r>
      <w:r>
        <w:rPr>
          <w:rStyle w:val="OperatorTok"/>
        </w:rPr>
        <w:t xml:space="preserve">=</w:t>
      </w:r>
      <w:r>
        <w:rPr>
          <w:rStyle w:val="NormalTok"/>
        </w:rPr>
        <w:t xml:space="preserve"> @</w:t>
      </w:r>
      <w:r>
        <w:rPr>
          <w:rStyle w:val="OperatorTok"/>
        </w:rPr>
        <w:t xml:space="preserve">{</w:t>
      </w:r>
      <w:r>
        <w:br/>
      </w:r>
      <w:r>
        <w:rPr>
          <w:rStyle w:val="NormalTok"/>
        </w:rPr>
        <w:t xml:space="preserve">            includePlatforms </w:t>
      </w:r>
      <w:r>
        <w:rPr>
          <w:rStyle w:val="OperatorTok"/>
        </w:rPr>
        <w:t xml:space="preserve">=</w:t>
      </w:r>
      <w:r>
        <w:rPr>
          <w:rStyle w:val="NormalTok"/>
        </w:rPr>
        <w:t xml:space="preserve"> </w:t>
      </w:r>
      <w:r>
        <w:rPr>
          <w:rStyle w:val="OperatorTok"/>
        </w:rPr>
        <w:t xml:space="preserve">@(</w:t>
      </w:r>
      <w:r>
        <w:rPr>
          <w:rStyle w:val="StringTok"/>
        </w:rPr>
        <w:t xml:space="preserve">"windows"</w:t>
      </w:r>
      <w:r>
        <w:rPr>
          <w:rStyle w:val="OperatorTok"/>
        </w:rPr>
        <w:t xml:space="preserve">)</w:t>
      </w:r>
      <w:r>
        <w:rPr>
          <w:rStyle w:val="NormalTok"/>
        </w:rPr>
        <w:t xml:space="preserve">   </w:t>
      </w:r>
      <w:r>
        <w:rPr>
          <w:rStyle w:val="CommentTok"/>
        </w:rPr>
        <w:t xml:space="preserve"># PAW is Windows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rPr>
          <w:rStyle w:val="NormalTok"/>
        </w:rPr>
        <w:t xml:space="preserve"> </w:t>
      </w:r>
      <w:r>
        <w:rPr>
          <w:rStyle w:val="StringTok"/>
        </w:rPr>
        <w:t xml:space="preserve">"compliantDevice"</w:t>
      </w:r>
      <w:r>
        <w:rPr>
          <w:rStyle w:val="OperatorTok"/>
        </w:rPr>
        <w:t xml:space="preserve">)</w:t>
      </w:r>
      <w:r>
        <w:br/>
      </w:r>
      <w:r>
        <w:rPr>
          <w:rStyle w:val="NormalTok"/>
        </w:rPr>
        <w:t xml:space="preserve">        </w:t>
      </w:r>
      <w:r>
        <w:rPr>
          <w:rStyle w:val="CommentTok"/>
        </w:rPr>
        <w:t xml:space="preserve"># compliantDevice enforces the Intune PAW compliance policy</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authenticationType </w:t>
      </w:r>
      <w:r>
        <w:rPr>
          <w:rStyle w:val="OperatorTok"/>
        </w:rPr>
        <w:t xml:space="preserve">=</w:t>
      </w:r>
      <w:r>
        <w:rPr>
          <w:rStyle w:val="NormalTok"/>
        </w:rPr>
        <w:t xml:space="preserve"> </w:t>
      </w:r>
      <w:r>
        <w:rPr>
          <w:rStyle w:val="StringTok"/>
        </w:rPr>
        <w:t xml:space="preserve">"primaryAndSecondaryAuthentication"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$newCaPolicy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$pawConditionalAccessPolicy</w:t>
      </w:r>
      <w:r>
        <w:br/>
      </w:r>
      <w:r>
        <w:rPr>
          <w:rStyle w:val="FunctionTok"/>
        </w:rPr>
        <w:t xml:space="preserve">Write-Host</w:t>
      </w:r>
      <w:r>
        <w:rPr>
          <w:rStyle w:val="NormalTok"/>
        </w:rPr>
        <w:t xml:space="preserve"> </w:t>
      </w:r>
      <w:r>
        <w:rPr>
          <w:rStyle w:val="StringTok"/>
        </w:rPr>
        <w:t xml:space="preserve">"Conditional Access policy created: </w:t>
      </w:r>
      <w:r>
        <w:rPr>
          <w:rStyle w:val="OperatorTok"/>
        </w:rPr>
        <w:t xml:space="preserve">$(</w:t>
      </w:r>
      <w:r>
        <w:rPr>
          <w:rStyle w:val="VariableTok"/>
        </w:rPr>
        <w:t xml:space="preserve">$newCaPolicy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FunctionTok"/>
        </w:rPr>
        <w:t xml:space="preserve">Write-Host</w:t>
      </w:r>
      <w:r>
        <w:rPr>
          <w:rStyle w:val="NormalTok"/>
        </w:rPr>
        <w:t xml:space="preserve"> </w:t>
      </w:r>
      <w:r>
        <w:rPr>
          <w:rStyle w:val="StringTok"/>
        </w:rPr>
        <w:t xml:space="preserve">"IMPORTANT: Policy is in report-only mode. Review sign-in logs for 14 days before enabling."</w:t>
      </w:r>
      <w:r>
        <w:rPr>
          <w:rStyle w:val="NormalTok"/>
        </w:rPr>
        <w:t xml:space="preserve"> </w:t>
      </w:r>
      <w:r>
        <w:rPr>
          <w:rStyle w:val="OperatorTok"/>
        </w:rPr>
        <w:t xml:space="preserve">-</w:t>
      </w:r>
      <w:r>
        <w:rPr>
          <w:rStyle w:val="NormalTok"/>
        </w:rPr>
        <w:t xml:space="preserve">ForegroundColor Yellow</w:t>
      </w:r>
    </w:p>
    <w:p>
      <w:pPr>
        <w:pStyle w:val="FirstParagraph"/>
      </w:pPr>
      <w:r>
        <w:rPr>
          <w:b/>
          <w:bCs/>
        </w:rPr>
        <w:t xml:space="preserve">Report-Only Mode First</w:t>
      </w:r>
      <w:r>
        <w:t xml:space="preserve"> </w:t>
      </w:r>
      <w:r>
        <w:t xml:space="preserve">— All Conditional Access policies should be deployed in</w:t>
      </w:r>
      <w:r>
        <w:t xml:space="preserve"> </w:t>
      </w:r>
      <w:r>
        <w:rPr>
          <w:rStyle w:val="VerbatimChar"/>
        </w:rPr>
        <w:t xml:space="preserve">enabledForReportingButNotEnforced</w:t>
      </w:r>
      <w:r>
        <w:t xml:space="preserve"> </w:t>
      </w:r>
      <w:r>
        <w:t xml:space="preserve">(report-only) mode for a minimum of 14 days before switching to</w:t>
      </w:r>
      <w:r>
        <w:t xml:space="preserve"> </w:t>
      </w:r>
      <w:r>
        <w:rPr>
          <w:rStyle w:val="VerbatimChar"/>
        </w:rPr>
        <w:t xml:space="preserve">enabled</w:t>
      </w:r>
      <w:r>
        <w:t xml:space="preserve">. During the report-only period, monitor the Entra ID sign-in log for any accounts that would be blocked. Blocking a privileged administrator from a critical system without warning creates an outage. The report-only period surfaces unexpected devices and users before enforcement.</w:t>
      </w:r>
    </w:p>
    <w:bookmarkEnd w:id="35"/>
    <w:bookmarkEnd w:id="36"/>
    <w:bookmarkStart w:id="41" w:name="emergency-access-accounts"/>
    <w:p>
      <w:pPr>
        <w:pStyle w:val="Heading1"/>
      </w:pPr>
      <w:r>
        <w:t xml:space="preserve">Emergency Access Accounts</w:t>
      </w:r>
    </w:p>
    <w:bookmarkStart w:id="37" w:name="why-break-glass-must-exist"/>
    <w:p>
      <w:pPr>
        <w:pStyle w:val="Heading2"/>
      </w:pPr>
      <w:r>
        <w:t xml:space="preserve">Why Break-Glass Must Exist</w:t>
      </w:r>
    </w:p>
    <w:p>
      <w:pPr>
        <w:pStyle w:val="FirstParagraph"/>
      </w:pPr>
      <w:r>
        <w:t xml:space="preserve">Every security control that blocks an administrative path creates a risk: if the control itself fails, administrators cannot recover the environment. Conditional Access policies that require PAW compliance will block access if the Intune service is down, if the PAW is lost or destroyed, or if PIM itself has a service outage. Without a break-glass path, these scenarios result in permanent tenant lockout.</w:t>
      </w:r>
    </w:p>
    <w:p>
      <w:pPr>
        <w:pStyle w:val="BodyText"/>
      </w:pPr>
      <w:r>
        <w:t xml:space="preserve">Break-glass accounts are the exception to all controls. They are not used in normal operations. They exist to restore access when the control plane that enforces access controls is itself unavailable.</w:t>
      </w:r>
    </w:p>
    <w:bookmarkEnd w:id="37"/>
    <w:bookmarkStart w:id="38" w:name="break-glass-account-design"/>
    <w:p>
      <w:pPr>
        <w:pStyle w:val="Heading2"/>
      </w:pPr>
      <w:r>
        <w:t xml:space="preserve">Break-Glass Account Design</w:t>
      </w:r>
    </w:p>
    <w:p>
      <w:pPr>
        <w:pStyle w:val="FirstParagraph"/>
      </w:pPr>
      <w:r>
        <w:t xml:space="preserve">Two break-glass accounts are required. Two accounts protect against the failure of a single account (lost credential, locked out, Entra soft-delete). They are configured as follows:</w:t>
      </w:r>
    </w:p>
    <w:p>
      <w:pPr>
        <w:pStyle w:val="BodyText"/>
      </w:pPr>
      <w:r>
        <w:rPr>
          <w:b/>
          <w:bCs/>
        </w:rPr>
        <w:t xml:space="preserve">Account type.</w:t>
      </w:r>
      <w:r>
        <w:t xml:space="preserve"> </w:t>
      </w:r>
      <w:r>
        <w:t xml:space="preserve">Cloud-only accounts. Not synced from on-premises Active Directory, not federated through any identity provider. Cloud-only accounts are accessible even when the on-premises AD, ADFS, or Entra Connect infrastructure is down.</w:t>
      </w:r>
    </w:p>
    <w:p>
      <w:pPr>
        <w:pStyle w:val="BodyText"/>
      </w:pPr>
      <w:r>
        <w:rPr>
          <w:b/>
          <w:bCs/>
        </w:rPr>
        <w:t xml:space="preserve">Role assignment.</w:t>
      </w:r>
      <w:r>
        <w:t xml:space="preserve"> </w:t>
      </w:r>
      <w:r>
        <w:t xml:space="preserve">Active (standing) Global Administrator. This is the one exception to the eligible-only rule — break-glass must have immediate standing access because PIM may be the system that is unavailable.</w:t>
      </w:r>
    </w:p>
    <w:p>
      <w:pPr>
        <w:pStyle w:val="BodyText"/>
      </w:pPr>
      <w:r>
        <w:rPr>
          <w:b/>
          <w:bCs/>
        </w:rPr>
        <w:t xml:space="preserve">Conditional Access exclusion.</w:t>
      </w:r>
      <w:r>
        <w:t xml:space="preserve"> </w:t>
      </w:r>
      <w:r>
        <w:t xml:space="preserve">Both break-glass accounts are excluded from every Conditional Access policy by group membership. A break-glass account must not be blocked by a PAW compliance requirement, MFA requirement, Named Location restriction, or any other Conditional Access control.</w:t>
      </w:r>
    </w:p>
    <w:p>
      <w:pPr>
        <w:pStyle w:val="BodyText"/>
      </w:pPr>
      <w:r>
        <w:rPr>
          <w:b/>
          <w:bCs/>
        </w:rPr>
        <w:t xml:space="preserve">Credential storage.</w:t>
      </w:r>
      <w:r>
        <w:t xml:space="preserve"> </w:t>
      </w:r>
      <w:r>
        <w:t xml:space="preserve">A 20+ character randomly generated password stored in physical form in a secured safe. The credentials are never stored in a password manager, a credential vault, or any digital system accessible from the network. Two sealed envelopes in two physically separate safes, each held by a different senior official.</w:t>
      </w:r>
    </w:p>
    <w:p>
      <w:pPr>
        <w:pStyle w:val="BodyText"/>
      </w:pPr>
      <w:r>
        <w:rPr>
          <w:b/>
          <w:bCs/>
        </w:rPr>
        <w:t xml:space="preserve">Second factor.</w:t>
      </w:r>
      <w:r>
        <w:t xml:space="preserve"> </w:t>
      </w:r>
      <w:r>
        <w:t xml:space="preserve">A FIDO2 hardware security key (not TOTP, not push notification) registered as the MFA method. The hardware key is stored alongside the password in the physical safe. The hardware key cannot be phished, replayed over the network, or MFA-fatigued — it requires physical possession of the device and physical proximity to the authentication terminal.</w:t>
      </w:r>
    </w:p>
    <w:p>
      <w:pPr>
        <w:pStyle w:val="BodyText"/>
      </w:pPr>
      <w:r>
        <w:rPr>
          <w:b/>
          <w:bCs/>
        </w:rPr>
        <w:t xml:space="preserve">Naming convention.</w:t>
      </w:r>
      <w:r>
        <w:t xml:space="preserve"> </w:t>
      </w:r>
      <w:r>
        <w:t xml:space="preserve">Use an account name that does not identify the purpose.</w:t>
      </w:r>
      <w:r>
        <w:t xml:space="preserve"> </w:t>
      </w:r>
      <w:r>
        <w:rPr>
          <w:rStyle w:val="VerbatimChar"/>
        </w:rPr>
        <w:t xml:space="preserve">bg-acct-01@agency.gov</w:t>
      </w:r>
      <w:r>
        <w:t xml:space="preserve"> </w:t>
      </w:r>
      <w:r>
        <w:t xml:space="preserve">is discoverable; a name following the normal account naming convention with no indicator of elevated privilege is less targeted.</w:t>
      </w:r>
    </w:p>
    <w:p>
      <w:pPr>
        <w:pStyle w:val="SourceCode"/>
      </w:pPr>
      <w:r>
        <w:rPr>
          <w:rStyle w:val="CommentTok"/>
        </w:rPr>
        <w:t xml:space="preserve"># Create break-glass accounts</w:t>
      </w:r>
      <w:r>
        <w:br/>
      </w:r>
      <w:r>
        <w:rPr>
          <w:rStyle w:val="CommentTok"/>
        </w:rPr>
        <w:t xml:space="preserve"># Run as Global Admin using an existing admin account -- do this BEFORE converting all admins to PIM eligible</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Users</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DirectoryManagement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"User.ReadWrite.All"</w:t>
      </w:r>
      <w:r>
        <w:rPr>
          <w:rStyle w:val="OperatorTok"/>
        </w:rPr>
        <w:t xml:space="preserve">,</w:t>
      </w:r>
      <w:r>
        <w:rPr>
          <w:rStyle w:val="NormalTok"/>
        </w:rPr>
        <w:t xml:space="preserve">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"Directory.ReadWrite.All"</w:t>
      </w:r>
      <w:r>
        <w:br/>
      </w:r>
      <w:r>
        <w:br/>
      </w:r>
      <w:r>
        <w:rPr>
          <w:rStyle w:val="KeywordTok"/>
        </w:rPr>
        <w:t xml:space="preserve">function</w:t>
      </w:r>
      <w:r>
        <w:rPr>
          <w:rStyle w:val="NormalTok"/>
        </w:rPr>
        <w:t xml:space="preserve"> New-BreakGlassAccount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$AccountNumber</w:t>
      </w:r>
      <w:r>
        <w:rPr>
          <w:rStyle w:val="OperatorTok"/>
        </w:rPr>
        <w:t xml:space="preserve">,</w:t>
      </w:r>
      <w:r>
        <w:rPr>
          <w:rStyle w:val="NormalTok"/>
        </w:rPr>
        <w:t xml:space="preserve">       </w:t>
      </w:r>
      <w:r>
        <w:rPr>
          <w:rStyle w:val="CommentTok"/>
        </w:rPr>
        <w:t xml:space="preserve"># "01" or "02" -- internal reference only, never embedded in the account name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rPr>
          <w:rStyle w:val="NormalTok"/>
        </w:rPr>
        <w:t xml:space="preserve">              </w:t>
      </w:r>
      <w:r>
        <w:rPr>
          <w:rStyle w:val="CommentTok"/>
        </w:rPr>
        <w:t xml:space="preserve"># Agency tenant domain, e.g. "agency.gov"</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$AccountName</w:t>
      </w:r>
      <w:r>
        <w:rPr>
          <w:rStyle w:val="OperatorTok"/>
        </w:rPr>
        <w:t xml:space="preserve">,</w:t>
      </w:r>
      <w:r>
        <w:rPr>
          <w:rStyle w:val="NormalTok"/>
        </w:rPr>
        <w:t xml:space="preserve">         </w:t>
      </w:r>
      <w:r>
        <w:rPr>
          <w:rStyle w:val="CommentTok"/>
        </w:rPr>
        <w:t xml:space="preserve"># Local part following the agency's NORMAL user-naming convention -- no "bg"/privilege indicator</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$DisplayName</w:t>
      </w:r>
      <w:r>
        <w:rPr>
          <w:rStyle w:val="NormalTok"/>
        </w:rPr>
        <w:t xml:space="preserve">          </w:t>
      </w:r>
      <w:r>
        <w:rPr>
          <w:rStyle w:val="CommentTok"/>
        </w:rPr>
        <w:t xml:space="preserve"># Display name matching ordinary accounts -- no "Break Glass" indicator</w:t>
      </w:r>
      <w:r>
        <w:br/>
      </w:r>
      <w:r>
        <w:rPr>
          <w:rStyle w:val="NormalTok"/>
        </w:rPr>
        <w:t xml:space="preserve">    </w:t>
      </w:r>
      <w:r>
        <w:rPr>
          <w:rStyle w:val="OperatorTok"/>
        </w:rPr>
        <w:t xml:space="preserve">)</w:t>
      </w:r>
      <w:r>
        <w:br/>
      </w:r>
      <w:r>
        <w:br/>
      </w:r>
      <w:r>
        <w:rPr>
          <w:rStyle w:val="NormalTok"/>
        </w:rPr>
        <w:t xml:space="preserve">    </w:t>
      </w:r>
      <w:r>
        <w:rPr>
          <w:rStyle w:val="CommentTok"/>
        </w:rPr>
        <w:t xml:space="preserve"># Generate a cryptographically random 24-character password</w:t>
      </w:r>
      <w:r>
        <w:br/>
      </w:r>
      <w:r>
        <w:rPr>
          <w:rStyle w:val="NormalTok"/>
        </w:rPr>
        <w:t xml:space="preserve">    </w:t>
      </w:r>
      <w:r>
        <w:rPr>
          <w:rStyle w:val="VariableTok"/>
        </w:rPr>
        <w:t xml:space="preserve">$passwordBytes</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byte</w:t>
      </w:r>
      <w:r>
        <w:rPr>
          <w:rStyle w:val="OperatorTok"/>
        </w:rPr>
        <w:t xml:space="preserve">[]</w:t>
      </w:r>
      <w:r>
        <w:rPr>
          <w:rStyle w:val="NormalTok"/>
        </w:rPr>
        <w:t xml:space="preserve"> </w:t>
      </w:r>
      <w:r>
        <w:rPr>
          <w:rStyle w:val="DecValTok"/>
        </w:rPr>
        <w:t xml:space="preserve">24</w:t>
      </w:r>
      <w:r>
        <w:br/>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RandomNumberGenerator</w:t>
      </w:r>
      <w:r>
        <w:rPr>
          <w:rStyle w:val="OperatorTok"/>
        </w:rPr>
        <w:t xml:space="preserve">]::</w:t>
      </w:r>
      <w:r>
        <w:rPr>
          <w:rStyle w:val="NormalTok"/>
        </w:rPr>
        <w:t xml:space="preserve">Create</w:t>
      </w:r>
      <w:r>
        <w:rPr>
          <w:rStyle w:val="OperatorTok"/>
        </w:rPr>
        <w:t xml:space="preserve">.</w:t>
      </w:r>
      <w:r>
        <w:rPr>
          <w:rStyle w:val="FunctionTok"/>
        </w:rPr>
        <w:t xml:space="preserve">GetBytes</w:t>
      </w:r>
      <w:r>
        <w:rPr>
          <w:rStyle w:val="OperatorTok"/>
        </w:rPr>
        <w:t xml:space="preserve">(</w:t>
      </w:r>
      <w:r>
        <w:rPr>
          <w:rStyle w:val="VariableTok"/>
        </w:rPr>
        <w:t xml:space="preserve">$passwordBytes</w:t>
      </w:r>
      <w:r>
        <w:rPr>
          <w:rStyle w:val="OperatorTok"/>
        </w:rPr>
        <w:t xml:space="preserve">)</w:t>
      </w:r>
      <w:r>
        <w:br/>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$passwordBytes</w:t>
      </w:r>
      <w:r>
        <w:rPr>
          <w:rStyle w:val="OperatorTok"/>
        </w:rPr>
        <w:t xml:space="preserve">).</w:t>
      </w:r>
      <w:r>
        <w:rPr>
          <w:rStyle w:val="FunctionTok"/>
        </w:rPr>
        <w:t xml:space="preserve">Substring</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w:t>
      </w:r>
      <w:r>
        <w:rPr>
          <w:rStyle w:val="OperatorTok"/>
        </w:rPr>
        <w:t xml:space="preserve">,</w:t>
      </w:r>
      <w:r>
        <w:rPr>
          <w:rStyle w:val="NormalTok"/>
        </w:rPr>
        <w:t xml:space="preserve"> </w:t>
      </w:r>
      <w:r>
        <w:rPr>
          <w:rStyle w:val="StringTok"/>
        </w:rPr>
        <w:t xml:space="preserve">'X'</w:t>
      </w:r>
      <w:r>
        <w:br/>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w:t>
      </w:r>
      <w:r>
        <w:rPr>
          <w:rStyle w:val="VariableTok"/>
        </w:rPr>
        <w:t xml:space="preserve">$AccountNumber</w:t>
      </w:r>
      <w:r>
        <w:rPr>
          <w:rStyle w:val="StringTok"/>
        </w:rPr>
        <w:t xml:space="preserve"> PASSWORD (record offline now):"</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StringTok"/>
        </w:rPr>
        <w:t xml:space="preserve">"STORE THIS PASSWORD IN THE PHYSICAL SAFE IMMEDIATELY"</w:t>
      </w:r>
      <w:r>
        <w:rPr>
          <w:rStyle w:val="NormalTok"/>
        </w:rPr>
        <w:t xml:space="preserve"> </w:t>
      </w:r>
      <w:r>
        <w:rPr>
          <w:rStyle w:val="OperatorTok"/>
        </w:rPr>
        <w:t xml:space="preserve">-</w:t>
      </w:r>
      <w:r>
        <w:rPr>
          <w:rStyle w:val="NormalTok"/>
        </w:rPr>
        <w:t xml:space="preserve">ForegroundColor Red</w:t>
      </w:r>
      <w:r>
        <w:br/>
      </w:r>
      <w:r>
        <w:br/>
      </w:r>
      <w:r>
        <w:rPr>
          <w:rStyle w:val="NormalTok"/>
        </w:rPr>
        <w:t xml:space="preserve">    </w:t>
      </w:r>
      <w:r>
        <w:rPr>
          <w:rStyle w:val="VariableTok"/>
        </w:rPr>
        <w:t xml:space="preserve">$accountUpn</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$AccountName</w:t>
      </w:r>
      <w:r>
        <w:rPr>
          <w:rStyle w:val="StringTok"/>
        </w:rPr>
        <w:t xml:space="preserve">@</w:t>
      </w:r>
      <w:r>
        <w:rPr>
          <w:rStyle w:val="VariableTok"/>
        </w:rPr>
        <w:t xml:space="preserve">$Domain</w:t>
      </w:r>
      <w:r>
        <w:rPr>
          <w:rStyle w:val="StringTok"/>
        </w:rPr>
        <w:t xml:space="preserve">"</w:t>
      </w:r>
      <w:r>
        <w:br/>
      </w:r>
      <w:r>
        <w:br/>
      </w:r>
      <w:r>
        <w:rPr>
          <w:rStyle w:val="NormalTok"/>
        </w:rPr>
        <w:t xml:space="preserve">    </w:t>
      </w:r>
      <w:r>
        <w:rPr>
          <w:rStyle w:val="VariableTok"/>
        </w:rPr>
        <w:t xml:space="preserve">$userParams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$DisplayName</w:t>
      </w:r>
      <w:r>
        <w:br/>
      </w:r>
      <w:r>
        <w:rPr>
          <w:rStyle w:val="NormalTok"/>
        </w:rPr>
        <w:t xml:space="preserve">        UserPrincipalName    </w:t>
      </w:r>
      <w:r>
        <w:rPr>
          <w:rStyle w:val="OperatorTok"/>
        </w:rPr>
        <w:t xml:space="preserve">=</w:t>
      </w:r>
      <w:r>
        <w:rPr>
          <w:rStyle w:val="NormalTok"/>
        </w:rPr>
        <w:t xml:space="preserve"> </w:t>
      </w:r>
      <w:r>
        <w:rPr>
          <w:rStyle w:val="VariableTok"/>
        </w:rPr>
        <w:t xml:space="preserve">$accountUpn</w:t>
      </w:r>
      <w:r>
        <w:br/>
      </w:r>
      <w:r>
        <w:rPr>
          <w:rStyle w:val="NormalTok"/>
        </w:rPr>
        <w:t xml:space="preserve">        MailNickname         </w:t>
      </w:r>
      <w:r>
        <w:rPr>
          <w:rStyle w:val="OperatorTok"/>
        </w:rPr>
        <w:t xml:space="preserve">=</w:t>
      </w:r>
      <w:r>
        <w:rPr>
          <w:rStyle w:val="NormalTok"/>
        </w:rPr>
        <w:t xml:space="preserve"> </w:t>
      </w:r>
      <w:r>
        <w:rPr>
          <w:rStyle w:val="VariableTok"/>
        </w:rPr>
        <w:t xml:space="preserve">$AccountName</w:t>
      </w:r>
      <w:r>
        <w:br/>
      </w:r>
      <w:r>
        <w:rPr>
          <w:rStyle w:val="NormalTok"/>
        </w:rPr>
        <w:t xml:space="preserve">        AccountEnabled       </w:t>
      </w:r>
      <w:r>
        <w:rPr>
          <w:rStyle w:val="OperatorTok"/>
        </w:rPr>
        <w:t xml:space="preserve">=</w:t>
      </w:r>
      <w:r>
        <w:rPr>
          <w:rStyle w:val="NormalTok"/>
        </w:rPr>
        <w:t xml:space="preserve"> </w:t>
      </w:r>
      <w:r>
        <w:rPr>
          <w:rStyle w:val="VariableTok"/>
        </w:rPr>
        <w:t xml:space="preserve">$true</w:t>
      </w:r>
      <w:r>
        <w:br/>
      </w:r>
      <w:r>
        <w:rPr>
          <w:rStyle w:val="NormalTok"/>
        </w:rPr>
        <w:t xml:space="preserve">        PasswordProfile      </w:t>
      </w:r>
      <w:r>
        <w:rPr>
          <w:rStyle w:val="OperatorTok"/>
        </w:rPr>
        <w:t xml:space="preserve">=</w:t>
      </w:r>
      <w:r>
        <w:rPr>
          <w:rStyle w:val="NormalTok"/>
        </w:rPr>
        <w:t xml:space="preserve"> @</w:t>
      </w:r>
      <w:r>
        <w:rPr>
          <w:rStyle w:val="OperatorTok"/>
        </w:rPr>
        <w:t xml:space="preserve">{</w:t>
      </w:r>
      <w:r>
        <w:br/>
      </w:r>
      <w:r>
        <w:rPr>
          <w:rStyle w:val="NormalTok"/>
        </w:rPr>
        <w:t xml:space="preserve">            Password                      </w:t>
      </w:r>
      <w:r>
        <w:rPr>
          <w:rStyle w:val="OperatorTok"/>
        </w:rPr>
        <w:t xml:space="preserve">=</w:t>
      </w:r>
      <w:r>
        <w:rPr>
          <w:rStyle w:val="NormalTok"/>
        </w:rPr>
        <w:t xml:space="preserve"> </w:t>
      </w:r>
      <w:r>
        <w:rPr>
          <w:rStyle w:val="VariableTok"/>
        </w:rPr>
        <w:t xml:space="preserve">$password</w:t>
      </w:r>
      <w:r>
        <w:br/>
      </w:r>
      <w:r>
        <w:rPr>
          <w:rStyle w:val="NormalTok"/>
        </w:rPr>
        <w:t xml:space="preserve">            ForceChangePasswordNextSignIn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OperatorTok"/>
        </w:rPr>
        <w:t xml:space="preserve">}</w:t>
      </w:r>
      <w:r>
        <w:br/>
      </w:r>
      <w:r>
        <w:rPr>
          <w:rStyle w:val="NormalTok"/>
        </w:rPr>
        <w:t xml:space="preserve">        PasswordPolicies     </w:t>
      </w:r>
      <w:r>
        <w:rPr>
          <w:rStyle w:val="OperatorTok"/>
        </w:rPr>
        <w:t xml:space="preserve">=</w:t>
      </w:r>
      <w:r>
        <w:rPr>
          <w:rStyle w:val="NormalTok"/>
        </w:rPr>
        <w:t xml:space="preserve"> </w:t>
      </w:r>
      <w:r>
        <w:rPr>
          <w:rStyle w:val="StringTok"/>
        </w:rPr>
        <w:t xml:space="preserve">"DisablePasswordExpiration"</w:t>
      </w:r>
      <w:r>
        <w:br/>
      </w:r>
      <w:r>
        <w:rPr>
          <w:rStyle w:val="NormalTok"/>
        </w:rPr>
        <w:t xml:space="preserve">        UsageLocation        </w:t>
      </w:r>
      <w:r>
        <w:rPr>
          <w:rStyle w:val="OperatorTok"/>
        </w:rPr>
        <w:t xml:space="preserve">=</w:t>
      </w:r>
      <w:r>
        <w:rPr>
          <w:rStyle w:val="NormalTok"/>
        </w:rPr>
        <w:t xml:space="preserve"> </w:t>
      </w:r>
      <w:r>
        <w:rPr>
          <w:rStyle w:val="StringTok"/>
        </w:rPr>
        <w:t xml:space="preserve">"US"</w:t>
      </w:r>
      <w:r>
        <w:br/>
      </w:r>
      <w:r>
        <w:rPr>
          <w:rStyle w:val="NormalTok"/>
        </w:rPr>
        <w:t xml:space="preserve">    </w:t>
      </w:r>
      <w:r>
        <w:rPr>
          <w:rStyle w:val="OperatorTok"/>
        </w:rPr>
        <w:t xml:space="preserve">}</w:t>
      </w:r>
      <w:r>
        <w:br/>
      </w:r>
      <w:r>
        <w:br/>
      </w:r>
      <w:r>
        <w:rPr>
          <w:rStyle w:val="NormalTok"/>
        </w:rPr>
        <w:t xml:space="preserve">    </w:t>
      </w:r>
      <w:r>
        <w:rPr>
          <w:rStyle w:val="VariableTok"/>
        </w:rPr>
        <w:t xml:space="preserve">$bgUser</w:t>
      </w:r>
      <w:r>
        <w:rPr>
          <w:rStyle w:val="NormalTok"/>
        </w:rPr>
        <w:t xml:space="preserve"> </w:t>
      </w:r>
      <w:r>
        <w:rPr>
          <w:rStyle w:val="OperatorTok"/>
        </w:rPr>
        <w:t xml:space="preserve">=</w:t>
      </w:r>
      <w:r>
        <w:rPr>
          <w:rStyle w:val="NormalTok"/>
        </w:rPr>
        <w:t xml:space="preserve"> New-MgUser </w:t>
      </w:r>
      <w:r>
        <w:rPr>
          <w:rStyle w:val="OperatorTok"/>
        </w:rPr>
        <w:t xml:space="preserve">-</w:t>
      </w:r>
      <w:r>
        <w:rPr>
          <w:rStyle w:val="NormalTok"/>
        </w:rPr>
        <w:t xml:space="preserve">BodyParameter </w:t>
      </w:r>
      <w:r>
        <w:rPr>
          <w:rStyle w:val="VariableTok"/>
        </w:rPr>
        <w:t xml:space="preserve">$userParams</w:t>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created: </w:t>
      </w:r>
      <w:r>
        <w:rPr>
          <w:rStyle w:val="VariableTok"/>
        </w:rPr>
        <w:t xml:space="preserve">$accountUpn</w:t>
      </w:r>
      <w:r>
        <w:rPr>
          <w:rStyle w:val="StringTok"/>
        </w:rPr>
        <w:t xml:space="preserve"> (ID: </w:t>
      </w:r>
      <w:r>
        <w:rPr>
          <w:rStyle w:val="OperatorTok"/>
        </w:rPr>
        <w:t xml:space="preserve">$(</w:t>
      </w:r>
      <w:r>
        <w:rPr>
          <w:rStyle w:val="VariableTok"/>
        </w:rPr>
        <w:t xml:space="preserve">$bgUser</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mmentTok"/>
        </w:rPr>
        <w:t xml:space="preserve"># Assign Global Administrator standing (active, not eligible)</w:t>
      </w:r>
      <w:r>
        <w:br/>
      </w:r>
      <w:r>
        <w:rPr>
          <w:rStyle w:val="NormalTok"/>
        </w:rPr>
        <w:t xml:space="preserve">    </w:t>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NormalTok"/>
        </w:rPr>
        <w:t xml:space="preserve">    </w:t>
      </w:r>
      <w:r>
        <w:rPr>
          <w:rStyle w:val="VariableTok"/>
        </w:rPr>
        <w:t xml:space="preserve">$roleAssignmentBody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roleDefinitionId </w:t>
      </w:r>
      <w:r>
        <w:rPr>
          <w:rStyle w:val="OperatorTok"/>
        </w:rPr>
        <w:t xml:space="preserve">=</w:t>
      </w:r>
      <w:r>
        <w:rPr>
          <w:rStyle w:val="NormalTok"/>
        </w:rPr>
        <w:t xml:space="preserve"> </w:t>
      </w:r>
      <w:r>
        <w:rPr>
          <w:rStyle w:val="VariableTok"/>
        </w:rPr>
        <w:t xml:space="preserve">$globalAdminRoleId</w:t>
      </w:r>
      <w:r>
        <w:br/>
      </w:r>
      <w:r>
        <w:rPr>
          <w:rStyle w:val="NormalTok"/>
        </w:rPr>
        <w:t xml:space="preserve">        principalId      </w:t>
      </w:r>
      <w:r>
        <w:rPr>
          <w:rStyle w:val="OperatorTok"/>
        </w:rPr>
        <w:t xml:space="preserve">=</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OperatorTok"/>
        </w:rPr>
        <w:t xml:space="preserve">}</w:t>
      </w:r>
      <w:r>
        <w:br/>
      </w:r>
      <w:r>
        <w:br/>
      </w:r>
      <w:r>
        <w:rPr>
          <w:rStyle w:val="NormalTok"/>
        </w:rPr>
        <w:t xml:space="preserve">    New-MgRoleManagementDirectoryRoleAssignment </w:t>
      </w:r>
      <w:r>
        <w:rPr>
          <w:rStyle w:val="OperatorTok"/>
        </w:rPr>
        <w:t xml:space="preserve">-</w:t>
      </w:r>
      <w:r>
        <w:rPr>
          <w:rStyle w:val="NormalTok"/>
        </w:rPr>
        <w:t xml:space="preserve">BodyParameter </w:t>
      </w:r>
      <w:r>
        <w:rPr>
          <w:rStyle w:val="VariableTok"/>
        </w:rPr>
        <w:t xml:space="preserve">$roleAssignmentBody</w:t>
      </w:r>
      <w:r>
        <w:br/>
      </w:r>
      <w:r>
        <w:rPr>
          <w:rStyle w:val="NormalTok"/>
        </w:rPr>
        <w:t xml:space="preserve">    </w:t>
      </w:r>
      <w:r>
        <w:rPr>
          <w:rStyle w:val="FunctionTok"/>
        </w:rPr>
        <w:t xml:space="preserve">Write-Host</w:t>
      </w:r>
      <w:r>
        <w:rPr>
          <w:rStyle w:val="NormalTok"/>
        </w:rPr>
        <w:t xml:space="preserve"> </w:t>
      </w:r>
      <w:r>
        <w:rPr>
          <w:rStyle w:val="StringTok"/>
        </w:rPr>
        <w:t xml:space="preserve">"Global Administrator role assigned (standing active) to </w:t>
      </w:r>
      <w:r>
        <w:rPr>
          <w:rStyle w:val="VariableTok"/>
        </w:rPr>
        <w:t xml:space="preserve">$accountUpn</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ntrolFlowTok"/>
        </w:rPr>
        <w:t xml:space="preserve">return</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OperatorTok"/>
        </w:rPr>
        <w:t xml:space="preserve">}</w:t>
      </w:r>
      <w:r>
        <w:br/>
      </w:r>
      <w:r>
        <w:br/>
      </w:r>
      <w:r>
        <w:rPr>
          <w:rStyle w:val="CommentTok"/>
        </w:rPr>
        <w:t xml:space="preserve"># Create both break-glass accounts.</w:t>
      </w:r>
      <w:r>
        <w:br/>
      </w:r>
      <w:r>
        <w:rPr>
          <w:rStyle w:val="CommentTok"/>
        </w:rPr>
        <w:t xml:space="preserve"># The names below follow the agency's normal user-naming convention and are deliberately</w:t>
      </w:r>
      <w:r>
        <w:br/>
      </w:r>
      <w:r>
        <w:rPr>
          <w:rStyle w:val="CommentTok"/>
        </w:rPr>
        <w:t xml:space="preserve"># NOT self-identifying. Substitute names that blend into your directory, and record the</w:t>
      </w:r>
      <w:r>
        <w:br/>
      </w:r>
      <w:r>
        <w:rPr>
          <w:rStyle w:val="CommentTok"/>
        </w:rPr>
        <w:t xml:space="preserve"># mapping (account number -&gt; object ID) offline in the break-glass runbook only.</w:t>
      </w:r>
      <w:r>
        <w:br/>
      </w:r>
      <w:r>
        <w:rPr>
          <w:rStyle w:val="VariableTok"/>
        </w:rPr>
        <w:t xml:space="preserve">$bg01Id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"01"</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"svc-ops-a41"</w:t>
      </w:r>
      <w:r>
        <w:rPr>
          <w:rStyle w:val="NormalTok"/>
        </w:rPr>
        <w:t xml:space="preserve"> </w:t>
      </w:r>
      <w:r>
        <w:rPr>
          <w:rStyle w:val="OperatorTok"/>
        </w:rPr>
        <w:t xml:space="preserve">-</w:t>
      </w:r>
      <w:r>
        <w:rPr>
          <w:rStyle w:val="NormalTok"/>
        </w:rPr>
        <w:t xml:space="preserve">DisplayName </w:t>
      </w:r>
      <w:r>
        <w:rPr>
          <w:rStyle w:val="StringTok"/>
        </w:rPr>
        <w:t xml:space="preserve">"Operations Service A41"</w:t>
      </w:r>
      <w:r>
        <w:br/>
      </w:r>
      <w:r>
        <w:rPr>
          <w:rStyle w:val="VariableTok"/>
        </w:rPr>
        <w:t xml:space="preserve">$bg02Id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"02"</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"svc-ops-b72"</w:t>
      </w:r>
      <w:r>
        <w:rPr>
          <w:rStyle w:val="NormalTok"/>
        </w:rPr>
        <w:t xml:space="preserve"> </w:t>
      </w:r>
      <w:r>
        <w:rPr>
          <w:rStyle w:val="OperatorTok"/>
        </w:rPr>
        <w:t xml:space="preserve">-</w:t>
      </w:r>
      <w:r>
        <w:rPr>
          <w:rStyle w:val="NormalTok"/>
        </w:rPr>
        <w:t xml:space="preserve">DisplayName </w:t>
      </w:r>
      <w:r>
        <w:rPr>
          <w:rStyle w:val="StringTok"/>
        </w:rPr>
        <w:t xml:space="preserve">"Operations Service B72"</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"Next steps:"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"1. Register a FIDO2 hardware key for each account at account registration"</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"2. Place credentials in separate physical safes"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"3. Exclude both accounts from all Conditional Access policies"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"4. Configure audit alert for any sign-in or role activation"</w:t>
      </w:r>
      <w:r>
        <w:rPr>
          <w:rStyle w:val="NormalTok"/>
        </w:rPr>
        <w:t xml:space="preserve"> </w:t>
      </w:r>
      <w:r>
        <w:rPr>
          <w:rStyle w:val="OperatorTok"/>
        </w:rPr>
        <w:t xml:space="preserve">-</w:t>
      </w:r>
      <w:r>
        <w:rPr>
          <w:rStyle w:val="NormalTok"/>
        </w:rPr>
        <w:t xml:space="preserve">ForegroundColor Cyan</w:t>
      </w:r>
    </w:p>
    <w:bookmarkEnd w:id="38"/>
    <w:bookmarkStart w:id="39" w:name="break-glass-audit-alert"/>
    <w:p>
      <w:pPr>
        <w:pStyle w:val="Heading2"/>
      </w:pPr>
      <w:r>
        <w:t xml:space="preserve">Break-Glass Audit Alert</w:t>
      </w:r>
    </w:p>
    <w:p>
      <w:pPr>
        <w:pStyle w:val="FirstParagraph"/>
      </w:pPr>
      <w:r>
        <w:t xml:space="preserve">Any use of a break-glass account is an anomalous event. An audit alert must fire immediately when either break-glass account signs in or activates any role. The alert should notify the CISO, the SOC, and at least one additional senior official.</w:t>
      </w:r>
    </w:p>
    <w:p>
      <w:pPr>
        <w:pStyle w:val="SourceCode"/>
      </w:pPr>
      <w:r>
        <w:rPr>
          <w:rStyle w:val="CommentTok"/>
        </w:rPr>
        <w:t xml:space="preserve"># Create Microsoft Sentinel alert rule for break-glass account use</w:t>
      </w:r>
      <w:r>
        <w:br/>
      </w:r>
      <w:r>
        <w:rPr>
          <w:rStyle w:val="CommentTok"/>
        </w:rPr>
        <w:t xml:space="preserve"># Requires: Sentinel Contributor on the Log Analytics workspace</w:t>
      </w:r>
      <w:r>
        <w:br/>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"00000000-0000-0000-0000-000000000004"</w:t>
      </w:r>
      <w:r>
        <w:rPr>
          <w:rStyle w:val="NormalTok"/>
        </w:rPr>
        <w:t xml:space="preserve">   </w:t>
      </w:r>
      <w:r>
        <w:rPr>
          <w:rStyle w:val="CommentTok"/>
        </w:rPr>
        <w:t xml:space="preserve"># Replace with your workspace ID</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"rg-sentinel-prod"</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"law-sentinel-prod"</w:t>
      </w:r>
      <w:r>
        <w:br/>
      </w:r>
      <w:r>
        <w:br/>
      </w:r>
      <w:r>
        <w:rPr>
          <w:rStyle w:val="CommentTok"/>
        </w:rPr>
        <w:t xml:space="preserve"># KQL query: detect any sign-in by break-glass accounts.</w:t>
      </w:r>
      <w:r>
        <w:br/>
      </w:r>
      <w:r>
        <w:rPr>
          <w:rStyle w:val="CommentTok"/>
        </w:rPr>
        <w:t xml:space="preserve"># Drive the alert from the object IDs captured at creation ($bg01Id/$bg02Id), NOT the</w:t>
      </w:r>
      <w:r>
        <w:br/>
      </w:r>
      <w:r>
        <w:rPr>
          <w:rStyle w:val="CommentTok"/>
        </w:rPr>
        <w:t xml:space="preserve"># (deliberately non-identifying) account names -- ideally maintain them in a Sentinel</w:t>
      </w:r>
      <w:r>
        <w:br/>
      </w:r>
      <w:r>
        <w:rPr>
          <w:rStyle w:val="CommentTok"/>
        </w:rPr>
        <w:t xml:space="preserve"># watchlist so the account names never need to appear in detection content.</w:t>
      </w:r>
      <w:r>
        <w:br/>
      </w:r>
      <w:r>
        <w:rPr>
          <w:rStyle w:val="VariableTok"/>
        </w:rPr>
        <w:t xml:space="preserve">$alertQuery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SigninLogs</w:t>
      </w:r>
      <w:r>
        <w:br/>
      </w:r>
      <w:r>
        <w:rPr>
          <w:rStyle w:val="VerbatimStringTok"/>
        </w:rPr>
        <w:t xml:space="preserve">| where UserId in ("</w:t>
      </w:r>
      <w:r>
        <w:rPr>
          <w:rStyle w:val="VariableTok"/>
        </w:rPr>
        <w:t xml:space="preserve">$bg01Id</w:t>
      </w:r>
      <w:r>
        <w:rPr>
          <w:rStyle w:val="VerbatimStringTok"/>
        </w:rPr>
        <w:t xml:space="preserve">", "</w:t>
      </w:r>
      <w:r>
        <w:rPr>
          <w:rStyle w:val="VariableTok"/>
        </w:rPr>
        <w:t xml:space="preserve">$bg02Id</w:t>
      </w:r>
      <w:r>
        <w:rPr>
          <w:rStyle w:val="VerbatimStringTok"/>
        </w:rPr>
        <w:t xml:space="preserve">")   // object IDs from New-BreakGlassAccount; or _GetWatchlist('BreakGlassAccounts')</w:t>
      </w:r>
      <w:r>
        <w:br/>
      </w:r>
      <w:r>
        <w:rPr>
          <w:rStyle w:val="VerbatimStringTok"/>
        </w:rPr>
        <w:t xml:space="preserve">| project TimeGenerated, UserPrincipalName, AppDisplayName, IPAddress, ResultType, Location, DeviceDetail</w:t>
      </w:r>
      <w:r>
        <w:br/>
      </w:r>
      <w:r>
        <w:rPr>
          <w:rStyle w:val="VerbatimStringTok"/>
        </w:rPr>
        <w:t xml:space="preserve">| order by TimeGenerated desc</w:t>
      </w:r>
      <w:r>
        <w:br/>
      </w:r>
      <w:r>
        <w:rPr>
          <w:rStyle w:val="VerbatimStringTok"/>
        </w:rPr>
        <w:t xml:space="preserve">"@</w:t>
      </w:r>
      <w:r>
        <w:br/>
      </w:r>
      <w:r>
        <w:br/>
      </w:r>
      <w:r>
        <w:rPr>
          <w:rStyle w:val="VariableTok"/>
        </w:rPr>
        <w:t xml:space="preserve">$alertRuleBody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kind       </w:t>
      </w:r>
      <w:r>
        <w:rPr>
          <w:rStyle w:val="OperatorTok"/>
        </w:rPr>
        <w:t xml:space="preserve">=</w:t>
      </w:r>
      <w:r>
        <w:rPr>
          <w:rStyle w:val="NormalTok"/>
        </w:rPr>
        <w:t xml:space="preserve"> </w:t>
      </w:r>
      <w:r>
        <w:rPr>
          <w:rStyle w:val="StringTok"/>
        </w:rPr>
        <w:t xml:space="preserve">"Scheduled"</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"CRITICAL - Break-Glass Account Sign-In Detected"</w:t>
      </w:r>
      <w:r>
        <w:br/>
      </w:r>
      <w:r>
        <w:rPr>
          <w:rStyle w:val="NormalTok"/>
        </w:rPr>
        <w:t xml:space="preserve">        description            </w:t>
      </w:r>
      <w:r>
        <w:rPr>
          <w:rStyle w:val="OperatorTok"/>
        </w:rPr>
        <w:t xml:space="preserve">=</w:t>
      </w:r>
      <w:r>
        <w:rPr>
          <w:rStyle w:val="NormalTok"/>
        </w:rPr>
        <w:t xml:space="preserve"> </w:t>
      </w:r>
      <w:r>
        <w:rPr>
          <w:rStyle w:val="StringTok"/>
        </w:rPr>
        <w:t xml:space="preserve">"A break-glass (emergency access) account has signed in. This is an anomalous event requiring immediate investigation."</w:t>
      </w:r>
      <w:r>
        <w:br/>
      </w:r>
      <w:r>
        <w:rPr>
          <w:rStyle w:val="NormalTok"/>
        </w:rPr>
        <w:t xml:space="preserve">        severity               </w:t>
      </w:r>
      <w:r>
        <w:rPr>
          <w:rStyle w:val="OperatorTok"/>
        </w:rPr>
        <w:t xml:space="preserve">=</w:t>
      </w:r>
      <w:r>
        <w:rPr>
          <w:rStyle w:val="NormalTok"/>
        </w:rPr>
        <w:t xml:space="preserve"> </w:t>
      </w:r>
      <w:r>
        <w:rPr>
          <w:rStyle w:val="StringTok"/>
        </w:rPr>
        <w:t xml:space="preserve">"High"</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query                  </w:t>
      </w:r>
      <w:r>
        <w:rPr>
          <w:rStyle w:val="OperatorTok"/>
        </w:rPr>
        <w:t xml:space="preserve">=</w:t>
      </w:r>
      <w:r>
        <w:rPr>
          <w:rStyle w:val="NormalTok"/>
        </w:rPr>
        <w:t xml:space="preserve"> </w:t>
      </w:r>
      <w:r>
        <w:rPr>
          <w:rStyle w:val="VariableTok"/>
        </w:rPr>
        <w:t xml:space="preserve">$alertQuery</w:t>
      </w:r>
      <w:r>
        <w:br/>
      </w:r>
      <w:r>
        <w:rPr>
          <w:rStyle w:val="NormalTok"/>
        </w:rPr>
        <w:t xml:space="preserve">        queryFrequency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Check every 5 minutes</w:t>
      </w:r>
      <w:r>
        <w:br/>
      </w:r>
      <w:r>
        <w:rPr>
          <w:rStyle w:val="NormalTok"/>
        </w:rPr>
        <w:t xml:space="preserve">        queryPeriod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Look back 5 minutes</w:t>
      </w:r>
      <w:r>
        <w:br/>
      </w:r>
      <w:r>
        <w:rPr>
          <w:rStyle w:val="NormalTok"/>
        </w:rPr>
        <w:t xml:space="preserve">        triggerOperator        </w:t>
      </w:r>
      <w:r>
        <w:rPr>
          <w:rStyle w:val="OperatorTok"/>
        </w:rPr>
        <w:t xml:space="preserve">=</w:t>
      </w:r>
      <w:r>
        <w:rPr>
          <w:rStyle w:val="NormalTok"/>
        </w:rPr>
        <w:t xml:space="preserve"> </w:t>
      </w:r>
      <w:r>
        <w:rPr>
          <w:rStyle w:val="StringTok"/>
        </w:rPr>
        <w:t xml:space="preserve">"GreaterThan"</w:t>
      </w:r>
      <w:r>
        <w:br/>
      </w:r>
      <w:r>
        <w:rPr>
          <w:rStyle w:val="NormalTok"/>
        </w:rPr>
        <w:t xml:space="preserve">        triggerThreshold       </w:t>
      </w:r>
      <w:r>
        <w:rPr>
          <w:rStyle w:val="OperatorTok"/>
        </w:rPr>
        <w:t xml:space="preserve">=</w:t>
      </w:r>
      <w:r>
        <w:rPr>
          <w:rStyle w:val="NormalTok"/>
        </w:rPr>
        <w:t xml:space="preserve"> </w:t>
      </w:r>
      <w:r>
        <w:rPr>
          <w:rStyle w:val="DecValTok"/>
        </w:rPr>
        <w:t xml:space="preserve">0</w:t>
      </w:r>
      <w:r>
        <w:br/>
      </w:r>
      <w:r>
        <w:rPr>
          <w:rStyle w:val="NormalTok"/>
        </w:rPr>
        <w:t xml:space="preserve">        suppressionDuration    </w:t>
      </w:r>
      <w:r>
        <w:rPr>
          <w:rStyle w:val="OperatorTok"/>
        </w:rPr>
        <w:t xml:space="preserve">=</w:t>
      </w:r>
      <w:r>
        <w:rPr>
          <w:rStyle w:val="NormalTok"/>
        </w:rPr>
        <w:t xml:space="preserve"> </w:t>
      </w:r>
      <w:r>
        <w:rPr>
          <w:rStyle w:val="StringTok"/>
        </w:rPr>
        <w:t xml:space="preserve">"PT1H"</w:t>
      </w:r>
      <w:r>
        <w:br/>
      </w:r>
      <w:r>
        <w:rPr>
          <w:rStyle w:val="NormalTok"/>
        </w:rPr>
        <w:t xml:space="preserve">        suppressionEnabled     </w:t>
      </w:r>
      <w:r>
        <w:rPr>
          <w:rStyle w:val="OperatorTok"/>
        </w:rPr>
        <w:t xml:space="preserve">=</w:t>
      </w:r>
      <w:r>
        <w:rPr>
          <w:rStyle w:val="NormalTok"/>
        </w:rPr>
        <w:t xml:space="preserve"> </w:t>
      </w:r>
      <w:r>
        <w:rPr>
          <w:rStyle w:val="VariableTok"/>
        </w:rPr>
        <w:t xml:space="preserve">$false</w:t>
      </w:r>
      <w:r>
        <w:br/>
      </w:r>
      <w:r>
        <w:rPr>
          <w:rStyle w:val="NormalTok"/>
        </w:rPr>
        <w:t xml:space="preserve">        tactics                </w:t>
      </w:r>
      <w:r>
        <w:rPr>
          <w:rStyle w:val="OperatorTok"/>
        </w:rPr>
        <w:t xml:space="preserve">=</w:t>
      </w:r>
      <w:r>
        <w:rPr>
          <w:rStyle w:val="NormalTok"/>
        </w:rPr>
        <w:t xml:space="preserve"> </w:t>
      </w:r>
      <w:r>
        <w:rPr>
          <w:rStyle w:val="OperatorTok"/>
        </w:rPr>
        <w:t xml:space="preserve">@(</w:t>
      </w:r>
      <w:r>
        <w:rPr>
          <w:rStyle w:val="StringTok"/>
        </w:rPr>
        <w:t xml:space="preserve">"PrivilegeEscalation"</w:t>
      </w:r>
      <w:r>
        <w:rPr>
          <w:rStyle w:val="OperatorTok"/>
        </w:rPr>
        <w:t xml:space="preserve">,</w:t>
      </w:r>
      <w:r>
        <w:rPr>
          <w:rStyle w:val="NormalTok"/>
        </w:rPr>
        <w:t xml:space="preserve"> </w:t>
      </w:r>
      <w:r>
        <w:rPr>
          <w:rStyle w:val="StringTok"/>
        </w:rPr>
        <w:t xml:space="preserve">"InitialAccess"</w:t>
      </w:r>
      <w:r>
        <w:rPr>
          <w:rStyle w:val="OperatorTok"/>
        </w:rPr>
        <w:t xml:space="preserve">)</w:t>
      </w:r>
      <w:r>
        <w:br/>
      </w:r>
      <w:r>
        <w:rPr>
          <w:rStyle w:val="NormalTok"/>
        </w:rPr>
        <w:t xml:space="preserve">        incidentConfiguration  </w:t>
      </w:r>
      <w:r>
        <w:rPr>
          <w:rStyle w:val="OperatorTok"/>
        </w:rPr>
        <w:t xml:space="preserve">=</w:t>
      </w:r>
      <w:r>
        <w:rPr>
          <w:rStyle w:val="NormalTok"/>
        </w:rPr>
        <w:t xml:space="preserve"> @</w:t>
      </w:r>
      <w:r>
        <w:rPr>
          <w:rStyle w:val="OperatorTok"/>
        </w:rPr>
        <w:t xml:space="preserve">{</w:t>
      </w:r>
      <w:r>
        <w:br/>
      </w:r>
      <w:r>
        <w:rPr>
          <w:rStyle w:val="NormalTok"/>
        </w:rPr>
        <w:t xml:space="preserve">            createIncident         </w:t>
      </w:r>
      <w:r>
        <w:rPr>
          <w:rStyle w:val="OperatorTok"/>
        </w:rPr>
        <w:t xml:space="preserve">=</w:t>
      </w:r>
      <w:r>
        <w:rPr>
          <w:rStyle w:val="NormalTok"/>
        </w:rPr>
        <w:t xml:space="preserve"> </w:t>
      </w:r>
      <w:r>
        <w:rPr>
          <w:rStyle w:val="VariableTok"/>
        </w:rPr>
        <w:t xml:space="preserve">$true</w:t>
      </w:r>
      <w:r>
        <w:br/>
      </w:r>
      <w:r>
        <w:rPr>
          <w:rStyle w:val="NormalTok"/>
        </w:rPr>
        <w:t xml:space="preserve">            groupingConfiguration  </w:t>
      </w:r>
      <w:r>
        <w:rPr>
          <w:rStyle w:val="OperatorTok"/>
        </w:rPr>
        <w:t xml:space="preserve">=</w:t>
      </w:r>
      <w:r>
        <w:rPr>
          <w:rStyle w:val="NormalTok"/>
        </w:rPr>
        <w:t xml:space="preserve"> @</w:t>
      </w:r>
      <w:r>
        <w:rPr>
          <w:rStyle w:val="Operator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reopenClosedIncident </w:t>
      </w:r>
      <w:r>
        <w:rPr>
          <w:rStyle w:val="OperatorTok"/>
        </w:rPr>
        <w:t xml:space="preserve">=</w:t>
      </w:r>
      <w:r>
        <w:rPr>
          <w:rStyle w:val="NormalTok"/>
        </w:rPr>
        <w:t xml:space="preserve"> </w:t>
      </w:r>
      <w:r>
        <w:rPr>
          <w:rStyle w:val="VariableTok"/>
        </w:rPr>
        <w:t xml:space="preserve">$true</w:t>
      </w:r>
      <w:r>
        <w:br/>
      </w:r>
      <w:r>
        <w:rPr>
          <w:rStyle w:val="NormalTok"/>
        </w:rPr>
        <w:t xml:space="preserve">                lookbackDuration     </w:t>
      </w:r>
      <w:r>
        <w:rPr>
          <w:rStyle w:val="OperatorTok"/>
        </w:rPr>
        <w:t xml:space="preserve">=</w:t>
      </w:r>
      <w:r>
        <w:rPr>
          <w:rStyle w:val="NormalTok"/>
        </w:rPr>
        <w:t xml:space="preserve"> </w:t>
      </w:r>
      <w:r>
        <w:rPr>
          <w:rStyle w:val="StringTok"/>
        </w:rPr>
        <w:t xml:space="preserve">"PT5M"</w:t>
      </w:r>
      <w:r>
        <w:br/>
      </w:r>
      <w:r>
        <w:rPr>
          <w:rStyle w:val="NormalTok"/>
        </w:rPr>
        <w:t xml:space="preserve">                matchingMethod       </w:t>
      </w:r>
      <w:r>
        <w:rPr>
          <w:rStyle w:val="OperatorTok"/>
        </w:rPr>
        <w:t xml:space="preserve">=</w:t>
      </w:r>
      <w:r>
        <w:rPr>
          <w:rStyle w:val="NormalTok"/>
        </w:rPr>
        <w:t xml:space="preserve"> </w:t>
      </w:r>
      <w:r>
        <w:rPr>
          <w:rStyle w:val="StringTok"/>
        </w:rPr>
        <w:t xml:space="preserve">"AllEntities"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8</w:t>
      </w:r>
      <w:r>
        <w:br/>
      </w:r>
      <w:r>
        <w:br/>
      </w:r>
      <w:r>
        <w:rPr>
          <w:rStyle w:val="VariableTok"/>
        </w:rPr>
        <w:t xml:space="preserve">$alertUri</w:t>
      </w:r>
      <w:r>
        <w:rPr>
          <w:rStyle w:val="NormalTok"/>
        </w:rPr>
        <w:t xml:space="preserve"> </w:t>
      </w:r>
      <w:r>
        <w:rPr>
          <w:rStyle w:val="OperatorTok"/>
        </w:rPr>
        <w:t xml:space="preserve">=</w:t>
      </w:r>
      <w:r>
        <w:rPr>
          <w:rStyle w:val="NormalTok"/>
        </w:rPr>
        <w:t xml:space="preserve"> </w:t>
      </w:r>
      <w:r>
        <w:rPr>
          <w:rStyle w:val="StringTok"/>
        </w:rPr>
        <w:t xml:space="preserve">"https://management.azure.com/subscriptions/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/providers/Microsoft.OperationalInsights/workspaces/</w:t>
      </w:r>
      <w:r>
        <w:rPr>
          <w:rStyle w:val="VariableTok"/>
        </w:rPr>
        <w:t xml:space="preserve">$workspaceName</w:t>
      </w:r>
      <w:r>
        <w:rPr>
          <w:rStyle w:val="StringTok"/>
        </w:rPr>
        <w:t xml:space="preserve">/providers/Microsoft.SecurityInsights/alertRules/breakglass-signin-alert?api-version=2023-02-01"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$alertUri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$alertRuleBody</w:t>
      </w:r>
      <w:r>
        <w:br/>
      </w:r>
      <w:r>
        <w:rPr>
          <w:rStyle w:val="FunctionTok"/>
        </w:rPr>
        <w:t xml:space="preserve">Write-Host</w:t>
      </w:r>
      <w:r>
        <w:rPr>
          <w:rStyle w:val="NormalTok"/>
        </w:rPr>
        <w:t xml:space="preserve"> </w:t>
      </w:r>
      <w:r>
        <w:rPr>
          <w:rStyle w:val="StringTok"/>
        </w:rPr>
        <w:t xml:space="preserve">"Break-glass alert rule created in Microsoft Sentinel"</w:t>
      </w:r>
      <w:r>
        <w:rPr>
          <w:rStyle w:val="NormalTok"/>
        </w:rPr>
        <w:t xml:space="preserve"> </w:t>
      </w:r>
      <w:r>
        <w:rPr>
          <w:rStyle w:val="OperatorTok"/>
        </w:rPr>
        <w:t xml:space="preserve">-</w:t>
      </w:r>
      <w:r>
        <w:rPr>
          <w:rStyle w:val="NormalTok"/>
        </w:rPr>
        <w:t xml:space="preserve">ForegroundColor Green</w:t>
      </w:r>
    </w:p>
    <w:bookmarkEnd w:id="39"/>
    <w:bookmarkStart w:id="40" w:name="quarterly-break-glass-testing"/>
    <w:p>
      <w:pPr>
        <w:pStyle w:val="Heading2"/>
      </w:pPr>
      <w:r>
        <w:t xml:space="preserve">Quarterly Break-Glass Testing</w:t>
      </w:r>
    </w:p>
    <w:p>
      <w:pPr>
        <w:pStyle w:val="FirstParagraph"/>
      </w:pPr>
      <w:r>
        <w:t xml:space="preserve">Break-glass accounts must be tested quarterly. An untested break-glass credential is an unknown credential — the password may have been rotated inadvertently, the hardware key may have failed, or the account may have been disabled by a policy that was not supposed to apply to it.</w:t>
      </w:r>
    </w:p>
    <w:p>
      <w:pPr>
        <w:pStyle w:val="BodyText"/>
      </w:pPr>
      <w:r>
        <w:t xml:space="preserve">The quarterly test is:</w:t>
      </w:r>
    </w:p>
    <w:p>
      <w:pPr>
        <w:pStyle w:val="Compact"/>
        <w:numPr>
          <w:ilvl w:val="0"/>
          <w:numId w:val="1007"/>
        </w:numPr>
      </w:pPr>
      <w:r>
        <w:t xml:space="preserve">Retrieve the break-glass credential from the physical safe under dual-person control.</w:t>
      </w:r>
    </w:p>
    <w:p>
      <w:pPr>
        <w:pStyle w:val="Compact"/>
        <w:numPr>
          <w:ilvl w:val="0"/>
          <w:numId w:val="1007"/>
        </w:numPr>
      </w:pPr>
      <w:r>
        <w:t xml:space="preserve">Sign into the Entra ID portal using the break-glass account credentials and FIDO2 key.</w:t>
      </w:r>
    </w:p>
    <w:p>
      <w:pPr>
        <w:pStyle w:val="Compact"/>
        <w:numPr>
          <w:ilvl w:val="0"/>
          <w:numId w:val="1007"/>
        </w:numPr>
      </w:pPr>
      <w:r>
        <w:t xml:space="preserve">Verify Global Administrator access is active (check role assignments).</w:t>
      </w:r>
    </w:p>
    <w:p>
      <w:pPr>
        <w:pStyle w:val="Compact"/>
        <w:numPr>
          <w:ilvl w:val="0"/>
          <w:numId w:val="1007"/>
        </w:numPr>
      </w:pPr>
      <w:r>
        <w:t xml:space="preserve">Sign out immediately.</w:t>
      </w:r>
    </w:p>
    <w:p>
      <w:pPr>
        <w:pStyle w:val="Compact"/>
        <w:numPr>
          <w:ilvl w:val="0"/>
          <w:numId w:val="1007"/>
        </w:numPr>
      </w:pPr>
      <w:r>
        <w:t xml:space="preserve">Re-seal the credential and return it to the safe.</w:t>
      </w:r>
    </w:p>
    <w:p>
      <w:pPr>
        <w:pStyle w:val="Compact"/>
        <w:numPr>
          <w:ilvl w:val="0"/>
          <w:numId w:val="1007"/>
        </w:numPr>
      </w:pPr>
      <w:r>
        <w:t xml:space="preserve">Document the test in the audit log (create a manual incident or note in the SIEM).</w:t>
      </w:r>
    </w:p>
    <w:p>
      <w:pPr>
        <w:pStyle w:val="FirstParagraph"/>
      </w:pPr>
      <w:r>
        <w:t xml:space="preserve">The test should trigger the Sentinel alert. Confirm the alert fires within 5 minutes. This validates both the account and the detection capability simultaneously.</w:t>
      </w:r>
    </w:p>
    <w:bookmarkEnd w:id="40"/>
    <w:bookmarkEnd w:id="41"/>
    <w:bookmarkStart w:id="45" w:name="session-management-and-re-authentication"/>
    <w:p>
      <w:pPr>
        <w:pStyle w:val="Heading1"/>
      </w:pPr>
      <w:r>
        <w:t xml:space="preserve">Session Management and Re-authentication</w:t>
      </w:r>
    </w:p>
    <w:bookmarkStart w:id="42" w:name="ac-11-device-lock"/>
    <w:p>
      <w:pPr>
        <w:pStyle w:val="Heading2"/>
      </w:pPr>
      <w:r>
        <w:t xml:space="preserve">AC-11: Device Lock</w:t>
      </w:r>
    </w:p>
    <w:p>
      <w:pPr>
        <w:pStyle w:val="FirstParagraph"/>
      </w:pPr>
      <w:r>
        <w:t xml:space="preserve">NIST SP 800-53 Rev 5 AC-11 requires that systems initiate a session lock after a period of user inactivity and retain the lock until the user re-authenticates. For federal systems, the standard is 15 minutes of inactivity.</w:t>
      </w:r>
    </w:p>
    <w:p>
      <w:pPr>
        <w:pStyle w:val="BodyText"/>
      </w:pPr>
      <w:r>
        <w:t xml:space="preserve">Session lock is enforced at two layers on privileged workstations:</w:t>
      </w:r>
    </w:p>
    <w:p>
      <w:pPr>
        <w:pStyle w:val="BodyText"/>
      </w:pPr>
      <w:r>
        <w:rPr>
          <w:b/>
          <w:bCs/>
        </w:rPr>
        <w:t xml:space="preserve">Windows OS screen lock</w:t>
      </w:r>
      <w:r>
        <w:t xml:space="preserve"> </w:t>
      </w:r>
      <w:r>
        <w:t xml:space="preserve">is enforced via Intune configuration profile. The screen lock policy is applied to the PAW device group and cannot be overridden by the local user.</w:t>
      </w:r>
    </w:p>
    <w:p>
      <w:pPr>
        <w:pStyle w:val="SourceCode"/>
      </w:pPr>
      <w:r>
        <w:rPr>
          <w:rStyle w:val="CommentTok"/>
        </w:rPr>
        <w:t xml:space="preserve"># Create Intune configuration profile for session lock (15 minutes)</w:t>
      </w:r>
      <w:r>
        <w:br/>
      </w:r>
      <w:r>
        <w:rPr>
          <w:rStyle w:val="CommentTok"/>
        </w:rPr>
        <w:t xml:space="preserve"># Requires: DeviceManagementConfiguration.ReadWrite.All</w:t>
      </w:r>
      <w:r>
        <w:br/>
      </w:r>
      <w:r>
        <w:br/>
      </w:r>
      <w:r>
        <w:rPr>
          <w:rStyle w:val="VariableTok"/>
        </w:rPr>
        <w:t xml:space="preserve">$sessionLockProfile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"#microsoft.graph.windows10GeneralConfiguration"</w:t>
      </w:r>
      <w:r>
        <w:br/>
      </w:r>
      <w:r>
        <w:rPr>
          <w:rStyle w:val="NormalTok"/>
        </w:rPr>
        <w:t xml:space="preserve">    displayName       </w:t>
      </w:r>
      <w:r>
        <w:rPr>
          <w:rStyle w:val="OperatorTok"/>
        </w:rPr>
        <w:t xml:space="preserve">=</w:t>
      </w:r>
      <w:r>
        <w:rPr>
          <w:rStyle w:val="NormalTok"/>
        </w:rPr>
        <w:t xml:space="preserve"> </w:t>
      </w:r>
      <w:r>
        <w:rPr>
          <w:rStyle w:val="StringTok"/>
        </w:rPr>
        <w:t xml:space="preserve">"PAW Session Lock - 15 Minute Idle"</w:t>
      </w:r>
      <w:r>
        <w:br/>
      </w:r>
      <w:r>
        <w:rPr>
          <w:rStyle w:val="NormalTok"/>
        </w:rPr>
        <w:t xml:space="preserve">    description       </w:t>
      </w:r>
      <w:r>
        <w:rPr>
          <w:rStyle w:val="OperatorTok"/>
        </w:rPr>
        <w:t xml:space="preserve">=</w:t>
      </w:r>
      <w:r>
        <w:rPr>
          <w:rStyle w:val="NormalTok"/>
        </w:rPr>
        <w:t xml:space="preserve"> </w:t>
      </w:r>
      <w:r>
        <w:rPr>
          <w:rStyle w:val="StringTok"/>
        </w:rPr>
        <w:t xml:space="preserve">"Enforces AC-11 session lock at 15 minutes inactivity for PAW devices"</w:t>
      </w:r>
      <w:r>
        <w:br/>
      </w:r>
      <w:r>
        <w:br/>
      </w:r>
      <w:r>
        <w:rPr>
          <w:rStyle w:val="NormalTok"/>
        </w:rPr>
        <w:t xml:space="preserve">    </w:t>
      </w:r>
      <w:r>
        <w:rPr>
          <w:rStyle w:val="CommentTok"/>
        </w:rPr>
        <w:t xml:space="preserve"># Screen lock after 15 minutes of inactivity</w:t>
      </w:r>
      <w:r>
        <w:br/>
      </w:r>
      <w:r>
        <w:rPr>
          <w:rStyle w:val="NormalTok"/>
        </w:rPr>
        <w:t xml:space="preserve">    passwordMinutesOfInactivityBeforeScreenTimeout </w:t>
      </w:r>
      <w:r>
        <w:rPr>
          <w:rStyle w:val="OperatorTok"/>
        </w:rPr>
        <w:t xml:space="preserve">=</w:t>
      </w:r>
      <w:r>
        <w:rPr>
          <w:rStyle w:val="NormalTok"/>
        </w:rPr>
        <w:t xml:space="preserve"> </w:t>
      </w:r>
      <w:r>
        <w:rPr>
          <w:rStyle w:val="DecValTok"/>
        </w:rPr>
        <w:t xml:space="preserve">15</w:t>
      </w:r>
      <w:r>
        <w:br/>
      </w:r>
      <w:r>
        <w:br/>
      </w:r>
      <w:r>
        <w:rPr>
          <w:rStyle w:val="NormalTok"/>
        </w:rPr>
        <w:t xml:space="preserve">    </w:t>
      </w:r>
      <w:r>
        <w:rPr>
          <w:rStyle w:val="CommentTok"/>
        </w:rPr>
        <w:t xml:space="preserve"># Require password to unlock from idle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Prevent users from changing screen timeout setting</w:t>
      </w:r>
      <w:r>
        <w:br/>
      </w:r>
      <w:r>
        <w:rPr>
          <w:rStyle w:val="NormalTok"/>
        </w:rPr>
        <w:t xml:space="preserve">    settingsBlockSettingsApp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Allow Settings app but enforce via policy</w:t>
      </w:r>
      <w:r>
        <w:br/>
      </w:r>
      <w:r>
        <w:rPr>
          <w:rStyle w:val="OperatorTok"/>
        </w:rPr>
        <w:t xml:space="preserve">}</w:t>
      </w:r>
      <w:r>
        <w:br/>
      </w:r>
      <w:r>
        <w:br/>
      </w:r>
      <w:r>
        <w:rPr>
          <w:rStyle w:val="VariableTok"/>
        </w:rPr>
        <w:t xml:space="preserve">$newLockProfile</w:t>
      </w:r>
      <w:r>
        <w:rPr>
          <w:rStyle w:val="NormalTok"/>
        </w:rPr>
        <w:t xml:space="preserve"> </w:t>
      </w:r>
      <w:r>
        <w:rPr>
          <w:rStyle w:val="OperatorTok"/>
        </w:rPr>
        <w:t xml:space="preserve">=</w:t>
      </w:r>
      <w:r>
        <w:rPr>
          <w:rStyle w:val="NormalTok"/>
        </w:rPr>
        <w:t xml:space="preserve"> New-MgDeviceManagementDeviceConfiguration </w:t>
      </w:r>
      <w:r>
        <w:rPr>
          <w:rStyle w:val="OperatorTok"/>
        </w:rPr>
        <w:t xml:space="preserve">-</w:t>
      </w:r>
      <w:r>
        <w:rPr>
          <w:rStyle w:val="NormalTok"/>
        </w:rPr>
        <w:t xml:space="preserve">BodyParameter </w:t>
      </w:r>
      <w:r>
        <w:rPr>
          <w:rStyle w:val="VariableTok"/>
        </w:rPr>
        <w:t xml:space="preserve">$sessionLockProfile</w:t>
      </w:r>
      <w:r>
        <w:br/>
      </w:r>
      <w:r>
        <w:rPr>
          <w:rStyle w:val="FunctionTok"/>
        </w:rPr>
        <w:t xml:space="preserve">Write-Host</w:t>
      </w:r>
      <w:r>
        <w:rPr>
          <w:rStyle w:val="NormalTok"/>
        </w:rPr>
        <w:t xml:space="preserve"> </w:t>
      </w:r>
      <w:r>
        <w:rPr>
          <w:rStyle w:val="StringTok"/>
        </w:rPr>
        <w:t xml:space="preserve">"Session lock profile created: </w:t>
      </w:r>
      <w:r>
        <w:rPr>
          <w:rStyle w:val="OperatorTok"/>
        </w:rPr>
        <w:t xml:space="preserve">$(</w:t>
      </w:r>
      <w:r>
        <w:rPr>
          <w:rStyle w:val="VariableTok"/>
        </w:rPr>
        <w:t xml:space="preserve">$newLockProfile</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to PAW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Set-MgDeviceManagementDeviceConfigurationAssignment `</w:t>
      </w:r>
      <w:r>
        <w:br/>
      </w:r>
      <w:r>
        <w:rPr>
          <w:rStyle w:val="NormalTok"/>
        </w:rPr>
        <w:t xml:space="preserve">    </w:t>
      </w:r>
      <w:r>
        <w:rPr>
          <w:rStyle w:val="OperatorTok"/>
        </w:rPr>
        <w:t xml:space="preserve">-</w:t>
      </w:r>
      <w:r>
        <w:rPr>
          <w:rStyle w:val="NormalTok"/>
        </w:rPr>
        <w:t xml:space="preserve">DeviceConfigurationId </w:t>
      </w:r>
      <w:r>
        <w:rPr>
          <w:rStyle w:val="VariableTok"/>
        </w:rPr>
        <w:t xml:space="preserve">$newLockProfile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"Session lock profile assigned to PAW group"</w:t>
      </w:r>
      <w:r>
        <w:rPr>
          <w:rStyle w:val="NormalTok"/>
        </w:rPr>
        <w:t xml:space="preserve"> </w:t>
      </w:r>
      <w:r>
        <w:rPr>
          <w:rStyle w:val="OperatorTok"/>
        </w:rPr>
        <w:t xml:space="preserve">-</w:t>
      </w:r>
      <w:r>
        <w:rPr>
          <w:rStyle w:val="NormalTok"/>
        </w:rPr>
        <w:t xml:space="preserve">ForegroundColor Green</w:t>
      </w:r>
    </w:p>
    <w:bookmarkEnd w:id="42"/>
    <w:bookmarkStart w:id="43" w:name="ac-12-session-termination"/>
    <w:p>
      <w:pPr>
        <w:pStyle w:val="Heading2"/>
      </w:pPr>
      <w:r>
        <w:t xml:space="preserve">AC-12: Session Termination</w:t>
      </w:r>
    </w:p>
    <w:p>
      <w:pPr>
        <w:pStyle w:val="FirstParagraph"/>
      </w:pPr>
      <w:r>
        <w:t xml:space="preserve">NIST SP 800-53 Rev 5 AC-12 requires the system to automatically terminate a session after defined conditions. For privileged sessions, the maximum session lifetime is a policy decision that balances security and operational friction.</w:t>
      </w:r>
    </w:p>
    <w:p>
      <w:pPr>
        <w:pStyle w:val="BodyText"/>
      </w:pPr>
      <w:r>
        <w:t xml:space="preserve">Recommended sign-in frequency settings:</w:t>
      </w:r>
    </w:p>
    <w:p>
      <w:pPr>
        <w:pStyle w:val="Compact"/>
        <w:numPr>
          <w:ilvl w:val="0"/>
          <w:numId w:val="1008"/>
        </w:numPr>
      </w:pPr>
      <w:r>
        <w:rPr>
          <w:b/>
          <w:bCs/>
        </w:rPr>
        <w:t xml:space="preserve">Standard user sessions:</w:t>
      </w:r>
      <w:r>
        <w:t xml:space="preserve"> </w:t>
      </w:r>
      <w:r>
        <w:t xml:space="preserve">8-hour sign-in frequency (aligned with a work day)</w:t>
      </w:r>
    </w:p>
    <w:p>
      <w:pPr>
        <w:pStyle w:val="Compact"/>
        <w:numPr>
          <w:ilvl w:val="0"/>
          <w:numId w:val="1008"/>
        </w:numPr>
      </w:pPr>
      <w:r>
        <w:rPr>
          <w:b/>
          <w:bCs/>
        </w:rPr>
        <w:t xml:space="preserve">Privileged portal sessions (admins):</w:t>
      </w:r>
      <w:r>
        <w:t xml:space="preserve"> </w:t>
      </w:r>
      <w:r>
        <w:t xml:space="preserve">8-hour sign-in frequency for the base Entra session</w:t>
      </w:r>
    </w:p>
    <w:p>
      <w:pPr>
        <w:pStyle w:val="Compact"/>
        <w:numPr>
          <w:ilvl w:val="0"/>
          <w:numId w:val="1008"/>
        </w:numPr>
      </w:pPr>
      <w:r>
        <w:rPr>
          <w:b/>
          <w:bCs/>
        </w:rPr>
        <w:t xml:space="preserve">PIM-activated role sessions:</w:t>
      </w:r>
      <w:r>
        <w:t xml:space="preserve"> </w:t>
      </w:r>
      <w:r>
        <w:t xml:space="preserve">1-hour sign-in frequency — the Conditional Access session control forces re-authentication every hour during an active PIM session, independent of the PIM activation window</w:t>
      </w:r>
    </w:p>
    <w:p>
      <w:pPr>
        <w:pStyle w:val="FirstParagraph"/>
      </w:pPr>
      <w:r>
        <w:t xml:space="preserve">The PIM session frequency is enforced through the Conditional Access session control</w:t>
      </w:r>
      <w:r>
        <w:t xml:space="preserve"> </w:t>
      </w:r>
      <w:r>
        <w:rPr>
          <w:rStyle w:val="VerbatimChar"/>
        </w:rPr>
        <w:t xml:space="preserve">signInFrequency</w:t>
      </w:r>
      <w:r>
        <w:t xml:space="preserve">:</w:t>
      </w:r>
    </w:p>
    <w:p>
      <w:pPr>
        <w:pStyle w:val="SourceCode"/>
      </w:pPr>
      <w:r>
        <w:rPr>
          <w:rStyle w:val="CommentTok"/>
        </w:rPr>
        <w:t xml:space="preserve"># Create Conditional Access policy enforcing 1-hour re-auth for PIM-activated sessions</w:t>
      </w:r>
      <w:r>
        <w:br/>
      </w:r>
      <w:r>
        <w:rPr>
          <w:rStyle w:val="CommentTok"/>
        </w:rPr>
        <w:t xml:space="preserve"># This is a separate policy targeting the PIM portal access after activation</w:t>
      </w:r>
      <w:r>
        <w:br/>
      </w:r>
      <w:r>
        <w:br/>
      </w:r>
      <w:r>
        <w:rPr>
          <w:rStyle w:val="VariableTok"/>
        </w:rPr>
        <w:t xml:space="preserve">$pimSessionFrequencyPolicy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- 1-Hour Re-auth During Active PIM Session"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Azure Management</w:t>
      </w:r>
      <w:r>
        <w:br/>
      </w:r>
      <w:r>
        <w:rPr>
          <w:rStyle w:val="NormalTok"/>
        </w:rPr>
        <w:t xml:space="preserve">                </w:t>
      </w:r>
      <w:r>
        <w:rPr>
          <w:rStyle w:val="StringTok"/>
        </w:rPr>
        <w:t xml:space="preserve">"00000003-0000-0000-c000-000000000000"</w:t>
      </w:r>
      <w:r>
        <w:rPr>
          <w:rStyle w:val="NormalTok"/>
        </w:rPr>
        <w:t xml:space="preserve">   </w:t>
      </w:r>
      <w:r>
        <w:rPr>
          <w:rStyle w:val="CommentTok"/>
        </w:rPr>
        <w:t xml:space="preserve"># Microsoft 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mmentTok"/>
        </w:rPr>
        <w:t xml:space="preserve"># frequencyInterval = "timeBased" is the default</w:t>
      </w:r>
      <w:r>
        <w:br/>
      </w:r>
      <w:r>
        <w:rPr>
          <w:rStyle w:val="NormalTok"/>
        </w:rPr>
        <w:t xml:space="preserve">        </w:t>
      </w:r>
      <w:r>
        <w:rPr>
          <w:rStyle w:val="OperatorTok"/>
        </w:rPr>
        <w:t xml:space="preserve">}</w:t>
      </w:r>
      <w:r>
        <w:br/>
      </w:r>
      <w:r>
        <w:rPr>
          <w:rStyle w:val="NormalTok"/>
        </w:rPr>
        <w:t xml:space="preserve">        persistentBrowser </w:t>
      </w:r>
      <w:r>
        <w:rPr>
          <w:rStyle w:val="OperatorTok"/>
        </w:rPr>
        <w:t xml:space="preserve">=</w:t>
      </w:r>
      <w:r>
        <w:rPr>
          <w:rStyle w:val="NormalTok"/>
        </w:rPr>
        <w:t xml:space="preserve"> @</w:t>
      </w:r>
      <w:r>
        <w:rPr>
          <w:rStyle w:val="OperatorTok"/>
        </w:rPr>
        <w:t xml:space="preserve">{</w:t>
      </w:r>
      <w:r>
        <w:br/>
      </w:r>
      <w:r>
        <w:rPr>
          <w:rStyle w:val="NormalTok"/>
        </w:rPr>
        <w:t xml:space="preserve">            mode      </w:t>
      </w:r>
      <w:r>
        <w:rPr>
          <w:rStyle w:val="OperatorTok"/>
        </w:rPr>
        <w:t xml:space="preserve">=</w:t>
      </w:r>
      <w:r>
        <w:rPr>
          <w:rStyle w:val="NormalTok"/>
        </w:rPr>
        <w:t xml:space="preserve"> </w:t>
      </w:r>
      <w:r>
        <w:rPr>
          <w:rStyle w:val="StringTok"/>
        </w:rPr>
        <w:t xml:space="preserve">"never"</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$newSessionPolicy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$pimSessionFrequencyPolicy</w:t>
      </w:r>
      <w:r>
        <w:br/>
      </w:r>
      <w:r>
        <w:rPr>
          <w:rStyle w:val="FunctionTok"/>
        </w:rPr>
        <w:t xml:space="preserve">Write-Host</w:t>
      </w:r>
      <w:r>
        <w:rPr>
          <w:rStyle w:val="NormalTok"/>
        </w:rPr>
        <w:t xml:space="preserve"> </w:t>
      </w:r>
      <w:r>
        <w:rPr>
          <w:rStyle w:val="StringTok"/>
        </w:rPr>
        <w:t xml:space="preserve">"PIM session frequency policy created: </w:t>
      </w:r>
      <w:r>
        <w:rPr>
          <w:rStyle w:val="OperatorTok"/>
        </w:rPr>
        <w:t xml:space="preserve">$(</w:t>
      </w:r>
      <w:r>
        <w:rPr>
          <w:rStyle w:val="VariableTok"/>
        </w:rPr>
        <w:t xml:space="preserve">$newSessionPolicy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p>
    <w:bookmarkEnd w:id="43"/>
    <w:bookmarkStart w:id="44" w:name="X1ebcd31e033ee7617f4ae21a7d1d0dbdf8f8f25"/>
    <w:p>
      <w:pPr>
        <w:pStyle w:val="Heading2"/>
      </w:pPr>
      <w:r>
        <w:t xml:space="preserve">IA-11: Re-authentication for Privileged Actions</w:t>
      </w:r>
    </w:p>
    <w:p>
      <w:pPr>
        <w:pStyle w:val="FirstParagraph"/>
      </w:pPr>
      <w:r>
        <w:t xml:space="preserve">NIST SP 800-53 Rev 5 IA-11 requires re-authentication when circumstances or security policy require it. For PIM, this means that every activation request requires a fresh MFA proof — regardless of how recently the user authenticated for their standard session.</w:t>
      </w:r>
    </w:p>
    <w:p>
      <w:pPr>
        <w:pStyle w:val="BodyText"/>
      </w:pPr>
      <w:r>
        <w:t xml:space="preserve">The mechanism is Entra ID Authentication Context. An Authentication Context is a named security signal that a Conditional Access policy can require for specific actions. The PIM activation flow is bound to an Authentication Context that requires fresh MFA (Step-Up Authentication).</w:t>
      </w:r>
    </w:p>
    <w:p>
      <w:pPr>
        <w:pStyle w:val="SourceCode"/>
      </w:pPr>
      <w:r>
        <w:rPr>
          <w:rStyle w:val="CommentTok"/>
        </w:rPr>
        <w:t xml:space="preserve"># Create Authentication Context for PIM activation re-auth</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rPr>
          <w:rStyle w:val="OperatorTok"/>
        </w:rPr>
        <w:t xml:space="preserve">,</w:t>
      </w:r>
      <w:r>
        <w:rPr>
          <w:rStyle w:val="NormalTok"/>
        </w:rPr>
        <w:t xml:space="preserve"> </w:t>
      </w:r>
      <w:r>
        <w:rPr>
          <w:rStyle w:val="StringTok"/>
        </w:rPr>
        <w:t xml:space="preserve">"Policy.Read.All"</w:t>
      </w:r>
      <w:r>
        <w:br/>
      </w:r>
      <w:r>
        <w:br/>
      </w:r>
      <w:r>
        <w:rPr>
          <w:rStyle w:val="CommentTok"/>
        </w:rPr>
        <w:t xml:space="preserve"># Create the authentication context</w:t>
      </w:r>
      <w:r>
        <w:br/>
      </w:r>
      <w:r>
        <w:rPr>
          <w:rStyle w:val="VariableTok"/>
        </w:rPr>
        <w:t xml:space="preserve">$authContextBody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"c1"</w:t>
      </w:r>
      <w:r>
        <w:br/>
      </w:r>
      <w:r>
        <w:rPr>
          <w:rStyle w:val="NormalTok"/>
        </w:rPr>
        <w:t xml:space="preserve">    displayName </w:t>
      </w:r>
      <w:r>
        <w:rPr>
          <w:rStyle w:val="OperatorTok"/>
        </w:rPr>
        <w:t xml:space="preserve">=</w:t>
      </w:r>
      <w:r>
        <w:rPr>
          <w:rStyle w:val="NormalTok"/>
        </w:rPr>
        <w:t xml:space="preserve"> </w:t>
      </w:r>
      <w:r>
        <w:rPr>
          <w:rStyle w:val="StringTok"/>
        </w:rPr>
        <w:t xml:space="preserve">"PIM Activation Requires Fresh MFA"</w:t>
      </w:r>
      <w:r>
        <w:br/>
      </w:r>
      <w:r>
        <w:rPr>
          <w:rStyle w:val="NormalTok"/>
        </w:rPr>
        <w:t xml:space="preserve">    description </w:t>
      </w:r>
      <w:r>
        <w:rPr>
          <w:rStyle w:val="OperatorTok"/>
        </w:rPr>
        <w:t xml:space="preserve">=</w:t>
      </w:r>
      <w:r>
        <w:rPr>
          <w:rStyle w:val="NormalTok"/>
        </w:rPr>
        <w:t xml:space="preserve"> </w:t>
      </w:r>
      <w:r>
        <w:rPr>
          <w:rStyle w:val="StringTok"/>
        </w:rPr>
        <w:t xml:space="preserve">"IA-11 re-authentication requirement for privileged role activation"</w:t>
      </w:r>
      <w:r>
        <w:br/>
      </w:r>
      <w:r>
        <w:rPr>
          <w:rStyle w:val="NormalTok"/>
        </w:rPr>
        <w:t xml:space="preserve">    isAvailable </w:t>
      </w:r>
      <w:r>
        <w:rPr>
          <w:rStyle w:val="OperatorTok"/>
        </w:rPr>
        <w:t xml:space="preserve">=</w:t>
      </w:r>
      <w:r>
        <w:rPr>
          <w:rStyle w:val="NormalTok"/>
        </w:rPr>
        <w:t xml:space="preserve"> </w:t>
      </w:r>
      <w:r>
        <w:rPr>
          <w:rStyle w:val="VariableTok"/>
        </w:rPr>
        <w:t xml:space="preserve">$true</w:t>
      </w:r>
      <w:r>
        <w:br/>
      </w:r>
      <w:r>
        <w:rPr>
          <w:rStyle w:val="OperatorTok"/>
        </w:rPr>
        <w:t xml:space="preserve">}</w:t>
      </w:r>
      <w:r>
        <w:br/>
      </w:r>
      <w:r>
        <w:br/>
      </w:r>
      <w:r>
        <w:rPr>
          <w:rStyle w:val="NormalTok"/>
        </w:rPr>
        <w:t xml:space="preserve">New-MgIdentityConditionalAccessAuthenticationContextClassReference `</w:t>
      </w:r>
      <w:r>
        <w:br/>
      </w:r>
      <w:r>
        <w:rPr>
          <w:rStyle w:val="NormalTok"/>
        </w:rPr>
        <w:t xml:space="preserve">    </w:t>
      </w:r>
      <w:r>
        <w:rPr>
          <w:rStyle w:val="OperatorTok"/>
        </w:rPr>
        <w:t xml:space="preserve">-</w:t>
      </w:r>
      <w:r>
        <w:rPr>
          <w:rStyle w:val="NormalTok"/>
        </w:rPr>
        <w:t xml:space="preserve">AuthenticationContextClassReferenceId </w:t>
      </w:r>
      <w:r>
        <w:rPr>
          <w:rStyle w:val="StringTok"/>
        </w:rPr>
        <w:t xml:space="preserve">"c1"</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$authContextBody</w:t>
      </w:r>
      <w:r>
        <w:br/>
      </w:r>
      <w:r>
        <w:br/>
      </w:r>
      <w:r>
        <w:rPr>
          <w:rStyle w:val="FunctionTok"/>
        </w:rPr>
        <w:t xml:space="preserve">Write-Host</w:t>
      </w:r>
      <w:r>
        <w:rPr>
          <w:rStyle w:val="NormalTok"/>
        </w:rPr>
        <w:t xml:space="preserve"> </w:t>
      </w:r>
      <w:r>
        <w:rPr>
          <w:rStyle w:val="StringTok"/>
        </w:rPr>
        <w:t xml:space="preserve">"Authentication context c1 created for PIM step-up MFA"</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Create Conditional Access policy that enforces strong auth when context c1 is requested</w:t>
      </w:r>
      <w:r>
        <w:br/>
      </w:r>
      <w:r>
        <w:rPr>
          <w:rStyle w:val="VariableTok"/>
        </w:rPr>
        <w:t xml:space="preserve">$stepUpPolicy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Step-Up MFA for PIM Activation (Auth Context c1)"</w:t>
      </w:r>
      <w:r>
        <w:br/>
      </w:r>
      <w:r>
        <w:rPr>
          <w:rStyle w:val="NormalTok"/>
        </w:rPr>
        <w:t xml:space="preserve">    state       </w:t>
      </w:r>
      <w:r>
        <w:rPr>
          <w:rStyle w:val="OperatorTok"/>
        </w:rPr>
        <w:t xml:space="preserve">=</w:t>
      </w:r>
      <w:r>
        <w:rPr>
          <w:rStyle w:val="NormalTok"/>
        </w:rPr>
        <w:t xml:space="preserve"> </w:t>
      </w:r>
      <w:r>
        <w:rPr>
          <w:rStyle w:val="StringTok"/>
        </w:rPr>
        <w:t xml:space="preserve">"enabled"</w:t>
      </w:r>
      <w:r>
        <w:rPr>
          <w:rStyle w:val="NormalTok"/>
        </w:rPr>
        <w:t xml:space="preserve">   </w:t>
      </w:r>
      <w:r>
        <w:rPr>
          <w:rStyle w:val="CommentTok"/>
        </w:rPr>
        <w:t xml:space="preserve"># This can be enabled immediately -- it only fires when c1 is requested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includeAuthenticationContextClassReferences </w:t>
      </w:r>
      <w:r>
        <w:rPr>
          <w:rStyle w:val="OperatorTok"/>
        </w:rPr>
        <w:t xml:space="preserve">=</w:t>
      </w:r>
      <w:r>
        <w:rPr>
          <w:rStyle w:val="NormalTok"/>
        </w:rPr>
        <w:t xml:space="preserve"> </w:t>
      </w:r>
      <w:r>
        <w:rPr>
          <w:rStyle w:val="OperatorTok"/>
        </w:rPr>
        <w:t xml:space="preserve">@(</w:t>
      </w:r>
      <w:r>
        <w:rPr>
          <w:rStyle w:val="StringTok"/>
        </w:rPr>
        <w:t xml:space="preserve">"c1"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"OR"</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New-MgIdentityConditionalAccessPolicy </w:t>
      </w:r>
      <w:r>
        <w:rPr>
          <w:rStyle w:val="OperatorTok"/>
        </w:rPr>
        <w:t xml:space="preserve">-</w:t>
      </w:r>
      <w:r>
        <w:rPr>
          <w:rStyle w:val="NormalTok"/>
        </w:rPr>
        <w:t xml:space="preserve">BodyParameter </w:t>
      </w:r>
      <w:r>
        <w:rPr>
          <w:rStyle w:val="VariableTok"/>
        </w:rPr>
        <w:t xml:space="preserve">$stepUpPolicy</w:t>
      </w:r>
      <w:r>
        <w:br/>
      </w:r>
      <w:r>
        <w:rPr>
          <w:rStyle w:val="FunctionTok"/>
        </w:rPr>
        <w:t xml:space="preserve">Write-Host</w:t>
      </w:r>
      <w:r>
        <w:rPr>
          <w:rStyle w:val="NormalTok"/>
        </w:rPr>
        <w:t xml:space="preserve"> </w:t>
      </w:r>
      <w:r>
        <w:rPr>
          <w:rStyle w:val="StringTok"/>
        </w:rPr>
        <w:t xml:space="preserve">"Step-up MFA Conditional Access policy created for auth context c1"</w:t>
      </w:r>
      <w:r>
        <w:rPr>
          <w:rStyle w:val="NormalTok"/>
        </w:rPr>
        <w:t xml:space="preserve"> </w:t>
      </w:r>
      <w:r>
        <w:rPr>
          <w:rStyle w:val="OperatorTok"/>
        </w:rPr>
        <w:t xml:space="preserve">-</w:t>
      </w:r>
      <w:r>
        <w:rPr>
          <w:rStyle w:val="NormalTok"/>
        </w:rPr>
        <w:t xml:space="preserve">ForegroundColor Green</w:t>
      </w:r>
    </w:p>
    <w:p>
      <w:pPr>
        <w:pStyle w:val="FirstParagraph"/>
      </w:pPr>
      <w:r>
        <w:t xml:space="preserve">With this configuration, when a user initiates a PIM activation, Entra ID sends an Authentication Context challenge of</w:t>
      </w:r>
      <w:r>
        <w:t xml:space="preserve"> </w:t>
      </w:r>
      <w:r>
        <w:rPr>
          <w:rStyle w:val="VerbatimChar"/>
        </w:rPr>
        <w:t xml:space="preserve">c1</w:t>
      </w:r>
      <w:r>
        <w:t xml:space="preserve">. The Conditional Access evaluation sees</w:t>
      </w:r>
      <w:r>
        <w:t xml:space="preserve"> </w:t>
      </w:r>
      <w:r>
        <w:rPr>
          <w:rStyle w:val="VerbatimChar"/>
        </w:rPr>
        <w:t xml:space="preserve">c1</w:t>
      </w:r>
      <w:r>
        <w:t xml:space="preserve"> </w:t>
      </w:r>
      <w:r>
        <w:t xml:space="preserve">in flight and requires fresh MFA. The user must complete MFA even if they completed it 30 minutes ago at login. This satisfies IA-11.</w:t>
      </w:r>
    </w:p>
    <w:bookmarkEnd w:id="44"/>
    <w:bookmarkEnd w:id="45"/>
    <w:bookmarkStart w:id="46" w:name="X41bfa3ef23b1560df6d20eabf70eac682be3f43"/>
    <w:p>
      <w:pPr>
        <w:pStyle w:val="Heading1"/>
      </w:pPr>
      <w:r>
        <w:t xml:space="preserve">Privileged Access Beyond Entra — Multi-Cloud and Third-Party PAM</w:t>
      </w:r>
    </w:p>
    <w:p>
      <w:pPr>
        <w:pStyle w:val="FirstParagraph"/>
      </w:pPr>
      <w:r>
        <w:t xml:space="preserve">The Entra PIM / PAW / Arc-JIT architecture above governs privileged access to the</w:t>
      </w:r>
      <w:r>
        <w:t xml:space="preserve"> </w:t>
      </w:r>
      <w:r>
        <w:t xml:space="preserve">Microsoft estate — Azure RBAC, Entra directory roles, and Arc-connected servers.</w:t>
      </w:r>
      <w:r>
        <w:t xml:space="preserve"> </w:t>
      </w:r>
      <w:r>
        <w:t xml:space="preserve">It does not, by itself, govern privileged identities in</w:t>
      </w:r>
      <w:r>
        <w:t xml:space="preserve"> </w:t>
      </w:r>
      <w:r>
        <w:rPr>
          <w:b/>
          <w:bCs/>
        </w:rPr>
        <w:t xml:space="preserve">AWS GovCloud</w:t>
      </w:r>
      <w:r>
        <w:t xml:space="preserve"> </w:t>
      </w:r>
      <w:r>
        <w:t xml:space="preserve">(IAM</w:t>
      </w:r>
      <w:r>
        <w:t xml:space="preserve"> </w:t>
      </w:r>
      <w:r>
        <w:t xml:space="preserve">roles, IAM Identity Center permission sets),</w:t>
      </w:r>
      <w:r>
        <w:t xml:space="preserve"> </w:t>
      </w:r>
      <w:r>
        <w:rPr>
          <w:b/>
          <w:bCs/>
        </w:rPr>
        <w:t xml:space="preserve">Oracle OCI</w:t>
      </w:r>
      <w:r>
        <w:t xml:space="preserve"> </w:t>
      </w:r>
      <w:r>
        <w:t xml:space="preserve">(IAM), or the</w:t>
      </w:r>
      <w:r>
        <w:t xml:space="preserve"> </w:t>
      </w:r>
      <w:r>
        <w:t xml:space="preserve">standing service, break-glass, and appliance-admin accounts a dedicated PAM</w:t>
      </w:r>
      <w:r>
        <w:t xml:space="preserve"> </w:t>
      </w:r>
      <w:r>
        <w:t xml:space="preserve">platform vaults. On a multi-cloud estate,</w:t>
      </w:r>
      <w:r>
        <w:t xml:space="preserve"> </w:t>
      </w:r>
      <w:r>
        <w:rPr>
          <w:b/>
          <w:bCs/>
        </w:rPr>
        <w:t xml:space="preserve">AC-5 / AC-6</w:t>
      </w:r>
      <w:r>
        <w:t xml:space="preserve"> </w:t>
      </w:r>
      <w:r>
        <w:t xml:space="preserve">least privilege must</w:t>
      </w:r>
      <w:r>
        <w:t xml:space="preserve"> </w:t>
      </w:r>
      <w:r>
        <w:t xml:space="preserve">hold across every cloud — not only Azure.</w:t>
      </w:r>
    </w:p>
    <w:p>
      <w:pPr>
        <w:pStyle w:val="BodyText"/>
      </w:pPr>
      <w:r>
        <w:rPr>
          <w:b/>
          <w:bCs/>
        </w:rPr>
        <w:t xml:space="preserve">Microsoft-preference is earned, not automatic here.</w:t>
      </w:r>
      <w:r>
        <w:t xml:space="preserve"> </w:t>
      </w:r>
      <w:r>
        <w:t xml:space="preserve">Entra PIM is the default</w:t>
      </w:r>
      <w:r>
        <w:t xml:space="preserve"> </w:t>
      </w:r>
      <w:r>
        <w:t xml:space="preserve">just-in-time mechanism for the Microsoft surface it actually governs; it does not</w:t>
      </w:r>
      <w:r>
        <w:t xml:space="preserve"> </w:t>
      </w:r>
      <w:r>
        <w:t xml:space="preserve">natively broker JIT elevation into AWS or OCI IAM. Multi-cloud privileged access</w:t>
      </w:r>
      <w:r>
        <w:t xml:space="preserve"> </w:t>
      </w:r>
      <w:r>
        <w:t xml:space="preserve">is therefore where the cross-vendor coordinators earn the role: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 (control)</w:t>
            </w:r>
          </w:p>
        </w:tc>
        <w:tc>
          <w:tcPr/>
          <w:p>
            <w:pPr>
              <w:pStyle w:val="Compact"/>
            </w:pPr>
            <w:r>
              <w:t xml:space="preserve">Microsoft-native</w:t>
            </w:r>
          </w:p>
        </w:tc>
        <w:tc>
          <w:tcPr/>
          <w:p>
            <w:pPr>
              <w:pStyle w:val="Compact"/>
            </w:pPr>
            <w:r>
              <w:t xml:space="preserve">Cross-vendor / multi-cloud</w:t>
            </w:r>
          </w:p>
        </w:tc>
      </w:tr>
      <w:tr>
        <w:tc>
          <w:tcPr/>
          <w:p>
            <w:pPr>
              <w:pStyle w:val="Compact"/>
            </w:pPr>
            <w:r>
              <w:t xml:space="preserve">JIT elevation (AC-6)</w:t>
            </w:r>
          </w:p>
        </w:tc>
        <w:tc>
          <w:tcPr/>
          <w:p>
            <w:pPr>
              <w:pStyle w:val="Compact"/>
            </w:pPr>
            <w:r>
              <w:t xml:space="preserve">Entra PIM (Azure/Entra)</w:t>
            </w:r>
          </w:p>
        </w:tc>
        <w:tc>
          <w:tcPr/>
          <w:p>
            <w:pPr>
              <w:pStyle w:val="Compact"/>
            </w:pPr>
            <w:r>
              <w:t xml:space="preserve">AWS IAM Identity Center permission sets; OCI IAM policies</w:t>
            </w:r>
          </w:p>
        </w:tc>
      </w:tr>
      <w:tr>
        <w:tc>
          <w:tcPr/>
          <w:p>
            <w:pPr>
              <w:pStyle w:val="Compact"/>
            </w:pPr>
            <w:r>
              <w:t xml:space="preserve">Entitlement governance &amp; access review (AC-2, AC-6)</w:t>
            </w:r>
          </w:p>
        </w:tc>
        <w:tc>
          <w:tcPr/>
          <w:p>
            <w:pPr>
              <w:pStyle w:val="Compact"/>
            </w:pPr>
            <w:r>
              <w:t xml:space="preserve">Entra ID Governance</w:t>
            </w:r>
          </w:p>
        </w:tc>
        <w:tc>
          <w:tcPr/>
          <w:p>
            <w:pPr>
              <w:pStyle w:val="Compact"/>
            </w:pPr>
            <w:r>
              <w:rPr>
                <w:b/>
                <w:bCs/>
              </w:rPr>
              <w:t xml:space="preserve">SailPoint Identity Security Cloud</w:t>
            </w:r>
            <w:r>
              <w:t xml:space="preserve"> </w:t>
            </w:r>
            <w:r>
              <w:rPr>
                <w:i/>
                <w:iCs/>
              </w:rPr>
              <w:t xml:space="preserve">(owned, FedRAMP Moderate)</w:t>
            </w:r>
            <w:r>
              <w:t xml:space="preserve"> </w:t>
            </w:r>
            <w:r>
              <w:t xml:space="preserve">— certifies privileged entitlements across CSPs + on-prem, on the HRIT identity SSOT</w:t>
            </w:r>
          </w:p>
        </w:tc>
      </w:tr>
      <w:tr>
        <w:tc>
          <w:tcPr/>
          <w:p>
            <w:pPr>
              <w:pStyle w:val="Compact"/>
            </w:pPr>
            <w:r>
              <w:t xml:space="preserve">Credential vaulting, session isolation, rotation (AC-6, IA-5)</w:t>
            </w:r>
          </w:p>
        </w:tc>
        <w:tc>
          <w:tcPr/>
          <w:p>
            <w:pPr>
              <w:pStyle w:val="Compact"/>
            </w:pPr>
            <w:r>
              <w:t xml:space="preserve">Key Vault (secrets)</w:t>
            </w:r>
          </w:p>
        </w:tc>
        <w:tc>
          <w:tcPr/>
          <w:p>
            <w:pPr>
              <w:pStyle w:val="Compact"/>
            </w:pPr>
            <w:r>
              <w:rPr>
                <w:b/>
                <w:bCs/>
              </w:rPr>
              <w:t xml:space="preserve">CyberArk</w:t>
            </w:r>
            <w:r>
              <w:t xml:space="preserve"> </w:t>
            </w:r>
            <w:r>
              <w:t xml:space="preserve">— vaults and brokers the standing accounts JIT cannot eliminate</w:t>
            </w:r>
          </w:p>
        </w:tc>
      </w:tr>
      <w:tr>
        <w:tc>
          <w:tcPr/>
          <w:p>
            <w:pPr>
              <w:pStyle w:val="Compact"/>
            </w:pPr>
            <w:r>
              <w:t xml:space="preserve">Cloud entitlement right-sizing (CIEM, AC-6)</w:t>
            </w:r>
          </w:p>
        </w:tc>
        <w:tc>
          <w:tcPr/>
          <w:p>
            <w:pPr>
              <w:pStyle w:val="Compact"/>
            </w:pPr>
            <w:r>
              <w:t xml:space="preserve">Defender for Cloud CIEM</w:t>
            </w:r>
            <w:r>
              <w:t xml:space="preserve"> </w:t>
            </w:r>
            <w:r>
              <w:rPr>
                <w:i/>
                <w:iCs/>
              </w:rPr>
              <w:t xml:space="preserve">(Moderate)</w:t>
            </w:r>
          </w:p>
        </w:tc>
        <w:tc>
          <w:tcPr/>
          <w:p>
            <w:pPr>
              <w:pStyle w:val="Compact"/>
            </w:pPr>
            <w:r>
              <w:t xml:space="preserve">Prisma Cloud / Wiz CIEM</w:t>
            </w:r>
            <w:r>
              <w:t xml:space="preserve"> </w:t>
            </w:r>
            <w:r>
              <w:rPr>
                <w:i/>
                <w:iCs/>
              </w:rPr>
              <w:t xml:space="preserve">(High)</w:t>
            </w:r>
          </w:p>
        </w:tc>
      </w:tr>
    </w:tbl>
    <w:p>
      <w:pPr>
        <w:pStyle w:val="BodyText"/>
      </w:pPr>
      <w:r>
        <w:rPr>
          <w:b/>
          <w:bCs/>
        </w:rPr>
        <w:t xml:space="preserve">SailPoint ISC</w:t>
      </w:r>
      <w:r>
        <w:t xml:space="preserve"> </w:t>
      </w:r>
      <w:r>
        <w:t xml:space="preserve">(owned, Moderate) is the cross-cloud entitlement-governance</w:t>
      </w:r>
      <w:r>
        <w:t xml:space="preserve"> </w:t>
      </w:r>
      <w:r>
        <w:t xml:space="preserve">layer — it reviews and certifies who holds privileged access across Azure, AWS,</w:t>
      </w:r>
      <w:r>
        <w:t xml:space="preserve"> </w:t>
      </w:r>
      <w:r>
        <w:t xml:space="preserve">OCI, and on-prem, sitting</w:t>
      </w:r>
      <w:r>
        <w:t xml:space="preserve"> </w:t>
      </w:r>
      <w:r>
        <w:rPr>
          <w:i/>
          <w:iCs/>
        </w:rPr>
        <w:t xml:space="preserve">on</w:t>
      </w:r>
      <w:r>
        <w:t xml:space="preserve"> </w:t>
      </w:r>
      <w:r>
        <w:t xml:space="preserve">the HRIT identity SSOT rather than replacing it;</w:t>
      </w:r>
      <w:r>
        <w:t xml:space="preserve"> </w:t>
      </w:r>
      <w:r>
        <w:rPr>
          <w:b/>
          <w:bCs/>
        </w:rPr>
        <w:t xml:space="preserve">SailPoint NERM</w:t>
      </w:r>
      <w:r>
        <w:t xml:space="preserve"> </w:t>
      </w:r>
      <w:r>
        <w:t xml:space="preserve">governs non-employee privileged access (series carve-out).</w:t>
      </w:r>
      <w:r>
        <w:t xml:space="preserve"> </w:t>
      </w:r>
      <w:r>
        <w:rPr>
          <w:b/>
          <w:bCs/>
        </w:rPr>
        <w:t xml:space="preserve">CyberArk</w:t>
      </w:r>
      <w:r>
        <w:t xml:space="preserve"> </w:t>
      </w:r>
      <w:r>
        <w:t xml:space="preserve">vaults and session-isolates the standing privileged accounts JIT</w:t>
      </w:r>
      <w:r>
        <w:t xml:space="preserve"> </w:t>
      </w:r>
      <w:r>
        <w:t xml:space="preserve">cannot remove — break-glass, service, and appliance-admin credentials. Verify</w:t>
      </w:r>
      <w:r>
        <w:t xml:space="preserve"> </w:t>
      </w:r>
      <w:r>
        <w:t xml:space="preserve">each on the FedRAMP Marketplace at procurement.</w:t>
      </w:r>
    </w:p>
    <w:p>
      <w:pPr>
        <w:pStyle w:val="BodyText"/>
      </w:pPr>
      <w:r>
        <w:t xml:space="preserve">Privileged-access events — PIM activations, SailPoint certifications, CyberArk</w:t>
      </w:r>
      <w:r>
        <w:t xml:space="preserve"> </w:t>
      </w:r>
      <w:r>
        <w:t xml:space="preserve">vault check-outs — emit the unified evidence-record contract into the Multi-Cloud</w:t>
      </w:r>
      <w:r>
        <w:t xml:space="preserve"> </w:t>
      </w:r>
      <w:r>
        <w:t xml:space="preserve">Evidence Fabric, keyed to authoritative identity, feeding CISA CDM and KSI-IAM.</w:t>
      </w:r>
    </w:p>
    <w:bookmarkEnd w:id="46"/>
    <w:bookmarkStart w:id="49" w:name="nist-sp-800-53-rev-5-control-closure"/>
    <w:p>
      <w:pPr>
        <w:pStyle w:val="Heading1"/>
      </w:pPr>
      <w:r>
        <w:t xml:space="preserve">NIST SP 800-53 Rev 5 Control Closure</w:t>
      </w:r>
    </w:p>
    <w:p>
      <w:pPr>
        <w:pStyle w:val="FirstParagraph"/>
      </w:pPr>
      <w:r>
        <w:t xml:space="preserve">The following table maps each NIST control addressed by this document to its state before and after implementation.</w:t>
      </w:r>
    </w:p>
    <w:p>
      <w:pPr>
        <w:pStyle w:val="BlockText"/>
      </w:pPr>
      <w:r>
        <w:rPr>
          <w:b/>
          <w:bCs/>
        </w:rPr>
        <w:t xml:space="preserve">Closure Necessity — AC-6(1) and AC-6(10) on privileged sessions.</w:t>
      </w:r>
      <w:r>
        <w:t xml:space="preserve"> </w:t>
      </w:r>
      <w:r>
        <w:t xml:space="preserve">Every closure in this table rests on two identity substrates, not on policy text. PIM’s activation ceremony is enforceable only because the role grant is a cryptographically validated token claim with a bounded lifetime — the certificate-and-token doctrine of Vol I Book 03 (Certificates &amp; Tokens); a password-conveyed admin role carries no expiry the directory can enforce. And the PAW gate on AC-6(1)/AC-6(10) holds only because Conditional Access can verify</w:t>
      </w:r>
      <w:r>
        <w:t xml:space="preserve"> </w:t>
      </w:r>
      <w:r>
        <w:rPr>
          <w:i/>
          <w:iCs/>
        </w:rPr>
        <w:t xml:space="preserve">device</w:t>
      </w:r>
      <w:r>
        <w:t xml:space="preserve"> </w:t>
      </w:r>
      <w:r>
        <w:t xml:space="preserve">identity and compliance — the device-identity doctrine of Vol I Book 02 (Network Access Control: 802.1X); without a device-bound assertion,</w:t>
      </w:r>
      <w:r>
        <w:t xml:space="preserve"> </w:t>
      </w:r>
      <w:r>
        <w:t xml:space="preserve">“activate only from a compliant workstation”</w:t>
      </w:r>
      <w:r>
        <w:t xml:space="preserve"> </w:t>
      </w:r>
      <w:r>
        <w:t xml:space="preserve">is a request, not a control. There is no audit procedure, admin-training artifact, or account-naming convention that bounds a standing credential’s scope in time or binds its use to hardware.</w:t>
      </w:r>
    </w:p>
    <w:p>
      <w:pPr>
        <w:pStyle w:val="TableCaption"/>
      </w:pPr>
      <w:r>
        <w:t xml:space="preserve">NIST SP 800-53 Rev 5 control closure for Vol III Book 01 — Privileged Access Management</w:t>
      </w:r>
    </w:p>
    <w:tbl>
      <w:tblPr>
        <w:tblStyle w:val="Table"/>
        <w:tblW w:type="pct" w:w="5000"/>
        <w:tblLayout w:type="fixed"/>
        <w:tblLook w:firstRow="1" w:lastRow="0" w:firstColumn="0" w:lastColumn="0" w:noHBand="0" w:noVBand="0" w:val="0020"/>
        <w:tblCaption w:val="NIST SP 800-53 Rev 5 control closure for Vol III Book 01 — Privileged Access Management"/>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AC-5</w:t>
            </w:r>
          </w:p>
        </w:tc>
        <w:tc>
          <w:tcPr/>
          <w:p>
            <w:pPr>
              <w:pStyle w:val="Compact"/>
            </w:pPr>
            <w:r>
              <w:t xml:space="preserve">Separation of Duties</w:t>
            </w:r>
          </w:p>
        </w:tc>
        <w:tc>
          <w:tcPr/>
          <w:p>
            <w:pPr>
              <w:pStyle w:val="Compact"/>
            </w:pPr>
            <w:r>
              <w:t xml:space="preserve">Standing Global Admin accounts combine administrative authorization with routine operations; no separation between role assignment and role use</w:t>
            </w:r>
          </w:p>
        </w:tc>
        <w:tc>
          <w:tcPr/>
          <w:p>
            <w:pPr>
              <w:pStyle w:val="Compact"/>
            </w:pPr>
            <w:r>
              <w:t xml:space="preserve">PIM requires a separate authorization ceremony (request, MFA, justification, optional approver) before role is active; role assignment and role use are distinct events</w:t>
            </w:r>
          </w:p>
        </w:tc>
        <w:tc>
          <w:tcPr/>
          <w:p>
            <w:pPr>
              <w:pStyle w:val="Compact"/>
            </w:pPr>
            <w:r>
              <w:t xml:space="preserve">NIST SP 800-53 Rev 5 AC-5</w:t>
            </w:r>
          </w:p>
        </w:tc>
      </w:tr>
      <w:tr>
        <w:tc>
          <w:tcPr/>
          <w:p>
            <w:pPr>
              <w:pStyle w:val="Compact"/>
            </w:pPr>
            <w:r>
              <w:t xml:space="preserve">AC-6</w:t>
            </w:r>
          </w:p>
        </w:tc>
        <w:tc>
          <w:tcPr/>
          <w:p>
            <w:pPr>
              <w:pStyle w:val="Compact"/>
            </w:pPr>
            <w:r>
              <w:t xml:space="preserve">Least Privilege</w:t>
            </w:r>
          </w:p>
        </w:tc>
        <w:tc>
          <w:tcPr/>
          <w:p>
            <w:pPr>
              <w:pStyle w:val="Compact"/>
            </w:pPr>
            <w:r>
              <w:t xml:space="preserve">Standing admin assignments grant maximum scope for the duration of employment regardless of current task</w:t>
            </w:r>
          </w:p>
        </w:tc>
        <w:tc>
          <w:tcPr/>
          <w:p>
            <w:pPr>
              <w:pStyle w:val="Compact"/>
            </w:pPr>
            <w:r>
              <w:t xml:space="preserve">PIM eligible assignments grant scope only for the duration of the activation window (1–8 hours); scope returns to zero between activations</w:t>
            </w:r>
          </w:p>
        </w:tc>
        <w:tc>
          <w:tcPr/>
          <w:p>
            <w:pPr>
              <w:pStyle w:val="Compact"/>
            </w:pPr>
            <w:r>
              <w:t xml:space="preserve">NIST SP 800-53 Rev 5 AC-6</w:t>
            </w:r>
          </w:p>
        </w:tc>
      </w:tr>
      <w:tr>
        <w:tc>
          <w:tcPr/>
          <w:p>
            <w:pPr>
              <w:pStyle w:val="Compact"/>
            </w:pPr>
            <w:r>
              <w:t xml:space="preserve">AC-6(1)</w:t>
            </w:r>
          </w:p>
        </w:tc>
        <w:tc>
          <w:tcPr/>
          <w:p>
            <w:pPr>
              <w:pStyle w:val="Compact"/>
            </w:pPr>
            <w:r>
              <w:t xml:space="preserve">Authorize Access to Security Functions</w:t>
            </w:r>
          </w:p>
        </w:tc>
        <w:tc>
          <w:tcPr/>
          <w:p>
            <w:pPr>
              <w:pStyle w:val="Compact"/>
            </w:pPr>
            <w:r>
              <w:t xml:space="preserve">Access to security functions (Conditional Access editing, role management, security policy) is always available to standing admins</w:t>
            </w:r>
          </w:p>
        </w:tc>
        <w:tc>
          <w:tcPr/>
          <w:p>
            <w:pPr>
              <w:pStyle w:val="Compact"/>
            </w:pPr>
            <w:r>
              <w:t xml:space="preserve">PIM activation for Security Administrator and Privileged Role Administrator roles requires explicit authorization ceremony; Conditional Access policy gates on PAW device compliance</w:t>
            </w:r>
          </w:p>
        </w:tc>
        <w:tc>
          <w:tcPr/>
          <w:p>
            <w:pPr>
              <w:pStyle w:val="Compact"/>
            </w:pPr>
            <w:r>
              <w:t xml:space="preserve">NIST SP 800-53 Rev 5 AC-6(1)</w:t>
            </w:r>
          </w:p>
        </w:tc>
      </w:tr>
      <w:tr>
        <w:tc>
          <w:tcPr/>
          <w:p>
            <w:pPr>
              <w:pStyle w:val="Compact"/>
            </w:pPr>
            <w:r>
              <w:t xml:space="preserve">AC-6(2)</w:t>
            </w:r>
          </w:p>
        </w:tc>
        <w:tc>
          <w:tcPr/>
          <w:p>
            <w:pPr>
              <w:pStyle w:val="Compact"/>
            </w:pPr>
            <w:r>
              <w:t xml:space="preserve">Non-privileged Access for Nonsecurity Functions</w:t>
            </w:r>
          </w:p>
        </w:tc>
        <w:tc>
          <w:tcPr/>
          <w:p>
            <w:pPr>
              <w:pStyle w:val="Compact"/>
            </w:pPr>
            <w:r>
              <w:t xml:space="preserve">Admins performing routine tasks (email, documents) use the same account scope as their administrative role — elevated scope is always in use</w:t>
            </w:r>
          </w:p>
        </w:tc>
        <w:tc>
          <w:tcPr/>
          <w:p>
            <w:pPr>
              <w:pStyle w:val="Compact"/>
            </w:pPr>
            <w:r>
              <w:t xml:space="preserve">Admins use a standard account for routine tasks; privileged roles are activated only when needed through PIM; PAW is used only for admin tasks, never for general productivity</w:t>
            </w:r>
          </w:p>
        </w:tc>
        <w:tc>
          <w:tcPr/>
          <w:p>
            <w:pPr>
              <w:pStyle w:val="Compact"/>
            </w:pPr>
            <w:r>
              <w:t xml:space="preserve">NIST SP 800-53 Rev 5 AC-6(2)</w:t>
            </w:r>
          </w:p>
        </w:tc>
      </w:tr>
      <w:tr>
        <w:tc>
          <w:tcPr/>
          <w:p>
            <w:pPr>
              <w:pStyle w:val="Compact"/>
            </w:pPr>
            <w:r>
              <w:t xml:space="preserve">AC-6(5)</w:t>
            </w:r>
          </w:p>
        </w:tc>
        <w:tc>
          <w:tcPr/>
          <w:p>
            <w:pPr>
              <w:pStyle w:val="Compact"/>
            </w:pPr>
            <w:r>
              <w:t xml:space="preserve">Privileged Accounts</w:t>
            </w:r>
          </w:p>
        </w:tc>
        <w:tc>
          <w:tcPr/>
          <w:p>
            <w:pPr>
              <w:pStyle w:val="Compact"/>
            </w:pPr>
            <w:r>
              <w:t xml:space="preserve">Privileged accounts exist with no inventory, no defined scope justification, and no audit trail of activation events</w:t>
            </w:r>
          </w:p>
        </w:tc>
        <w:tc>
          <w:tcPr/>
          <w:p>
            <w:pPr>
              <w:pStyle w:val="Compact"/>
            </w:pPr>
            <w:r>
              <w:t xml:space="preserve">PIM eligible assignments constitute the inventory of privileged accounts; each activation generates an audit event with justification, requestor, approver, and time window</w:t>
            </w:r>
          </w:p>
        </w:tc>
        <w:tc>
          <w:tcPr/>
          <w:p>
            <w:pPr>
              <w:pStyle w:val="Compact"/>
            </w:pPr>
            <w:r>
              <w:t xml:space="preserve">NIST SP 800-53 Rev 5 AC-6(5)</w:t>
            </w:r>
          </w:p>
        </w:tc>
      </w:tr>
      <w:tr>
        <w:tc>
          <w:tcPr/>
          <w:p>
            <w:pPr>
              <w:pStyle w:val="Compact"/>
            </w:pPr>
            <w:r>
              <w:t xml:space="preserve">AC-6(9)</w:t>
            </w:r>
          </w:p>
        </w:tc>
        <w:tc>
          <w:tcPr/>
          <w:p>
            <w:pPr>
              <w:pStyle w:val="Compact"/>
            </w:pPr>
            <w:r>
              <w:t xml:space="preserve">Log Use of Privileged Functions</w:t>
            </w:r>
          </w:p>
        </w:tc>
        <w:tc>
          <w:tcPr/>
          <w:p>
            <w:pPr>
              <w:pStyle w:val="Compact"/>
            </w:pPr>
            <w:r>
              <w:t xml:space="preserve">NTLM-based admin sessions do not generate token-level audit events; standing admin session activities are not distinguishable from normal use in the audit log</w:t>
            </w:r>
          </w:p>
        </w:tc>
        <w:tc>
          <w:tcPr/>
          <w:p>
            <w:pPr>
              <w:pStyle w:val="Compact"/>
            </w:pPr>
            <w:r>
              <w:t xml:space="preserve">PIM activation and deactivation are logged; Sentinel analytics rules correlate activation events with subsequent administrative actions during the activation window</w:t>
            </w:r>
          </w:p>
        </w:tc>
        <w:tc>
          <w:tcPr/>
          <w:p>
            <w:pPr>
              <w:pStyle w:val="Compact"/>
            </w:pPr>
            <w:r>
              <w:t xml:space="preserve">NIST SP 800-53 Rev 5 AC-6(9)</w:t>
            </w:r>
          </w:p>
        </w:tc>
      </w:tr>
      <w:tr>
        <w:tc>
          <w:tcPr/>
          <w:p>
            <w:pPr>
              <w:pStyle w:val="Compact"/>
            </w:pPr>
            <w:r>
              <w:t xml:space="preserve">AC-6(10)</w:t>
            </w:r>
          </w:p>
        </w:tc>
        <w:tc>
          <w:tcPr/>
          <w:p>
            <w:pPr>
              <w:pStyle w:val="Compact"/>
            </w:pPr>
            <w:r>
              <w:t xml:space="preserve">Prohibit Non-privileged Users from Executing Privileged Functions</w:t>
            </w:r>
          </w:p>
        </w:tc>
        <w:tc>
          <w:tcPr/>
          <w:p>
            <w:pPr>
              <w:pStyle w:val="Compact"/>
            </w:pPr>
            <w:r>
              <w:t xml:space="preserve">Any account that discovers a standing admin credential can immediately execute privileged functions; no additional gate</w:t>
            </w:r>
          </w:p>
        </w:tc>
        <w:tc>
          <w:tcPr/>
          <w:p>
            <w:pPr>
              <w:pStyle w:val="Compact"/>
            </w:pPr>
            <w:r>
              <w:t xml:space="preserve">PIM eligible assignments require activation ceremony; PAW Conditional Access blocks role activation from non-compliant devices; Credential Guard blocks credential extraction from PAW memory</w:t>
            </w:r>
          </w:p>
        </w:tc>
        <w:tc>
          <w:tcPr/>
          <w:p>
            <w:pPr>
              <w:pStyle w:val="Compact"/>
            </w:pPr>
            <w:r>
              <w:t xml:space="preserve">NIST SP 800-53 Rev 5 AC-6(10)</w:t>
            </w:r>
          </w:p>
        </w:tc>
      </w:tr>
      <w:tr>
        <w:tc>
          <w:tcPr/>
          <w:p>
            <w:pPr>
              <w:pStyle w:val="Compact"/>
            </w:pPr>
            <w:r>
              <w:t xml:space="preserve">AC-11</w:t>
            </w:r>
          </w:p>
        </w:tc>
        <w:tc>
          <w:tcPr/>
          <w:p>
            <w:pPr>
              <w:pStyle w:val="Compact"/>
            </w:pPr>
            <w:r>
              <w:t xml:space="preserve">Device Lock</w:t>
            </w:r>
          </w:p>
        </w:tc>
        <w:tc>
          <w:tcPr/>
          <w:p>
            <w:pPr>
              <w:pStyle w:val="Compact"/>
            </w:pPr>
            <w:r>
              <w:t xml:space="preserve">Screen lock timeout may be configured per-device with no enforcement; users can override or disable</w:t>
            </w:r>
          </w:p>
        </w:tc>
        <w:tc>
          <w:tcPr/>
          <w:p>
            <w:pPr>
              <w:pStyle w:val="Compact"/>
            </w:pPr>
            <w:r>
              <w:t xml:space="preserve">Intune configuration profile enforces 15-minute idle screen lock on PAW devices; policy is not user-overridable; compliance policy flags non-compliant devices</w:t>
            </w:r>
          </w:p>
        </w:tc>
        <w:tc>
          <w:tcPr/>
          <w:p>
            <w:pPr>
              <w:pStyle w:val="Compact"/>
            </w:pPr>
            <w:r>
              <w:t xml:space="preserve">NIST SP 800-53 Rev 5 AC-11</w:t>
            </w:r>
          </w:p>
        </w:tc>
      </w:tr>
      <w:tr>
        <w:tc>
          <w:tcPr/>
          <w:p>
            <w:pPr>
              <w:pStyle w:val="Compact"/>
            </w:pPr>
            <w:r>
              <w:t xml:space="preserve">AC-12</w:t>
            </w:r>
          </w:p>
        </w:tc>
        <w:tc>
          <w:tcPr/>
          <w:p>
            <w:pPr>
              <w:pStyle w:val="Compact"/>
            </w:pPr>
            <w:r>
              <w:t xml:space="preserve">Session Termination</w:t>
            </w:r>
          </w:p>
        </w:tc>
        <w:tc>
          <w:tcPr/>
          <w:p>
            <w:pPr>
              <w:pStyle w:val="Compact"/>
            </w:pPr>
            <w:r>
              <w:t xml:space="preserve">Administrative sessions may persist indefinitely; no automatic termination</w:t>
            </w:r>
          </w:p>
        </w:tc>
        <w:tc>
          <w:tcPr/>
          <w:p>
            <w:pPr>
              <w:pStyle w:val="Compact"/>
            </w:pPr>
            <w:r>
              <w:t xml:space="preserve">Conditional Access sign-in frequency policy limits privileged portal sessions to 8 hours; PIM-activated sessions are subject to 1-hour re-authentication; sessions exceeding the limit require fresh MFA to continue</w:t>
            </w:r>
          </w:p>
        </w:tc>
        <w:tc>
          <w:tcPr/>
          <w:p>
            <w:pPr>
              <w:pStyle w:val="Compact"/>
            </w:pPr>
            <w:r>
              <w:t xml:space="preserve">NIST SP 800-53 Rev 5 AC-12</w:t>
            </w:r>
          </w:p>
        </w:tc>
      </w:tr>
      <w:tr>
        <w:tc>
          <w:tcPr/>
          <w:p>
            <w:pPr>
              <w:pStyle w:val="Compact"/>
            </w:pPr>
            <w:r>
              <w:t xml:space="preserve">IA-11</w:t>
            </w:r>
          </w:p>
        </w:tc>
        <w:tc>
          <w:tcPr/>
          <w:p>
            <w:pPr>
              <w:pStyle w:val="Compact"/>
            </w:pPr>
            <w:r>
              <w:t xml:space="preserve">Re-authentication</w:t>
            </w:r>
          </w:p>
        </w:tc>
        <w:tc>
          <w:tcPr/>
          <w:p>
            <w:pPr>
              <w:pStyle w:val="Compact"/>
            </w:pPr>
            <w:r>
              <w:t xml:space="preserve">Subsequent privileged actions within an active session do not require additional authentication proof</w:t>
            </w:r>
          </w:p>
        </w:tc>
        <w:tc>
          <w:tcPr/>
          <w:p>
            <w:pPr>
              <w:pStyle w:val="Compact"/>
            </w:pPr>
            <w:r>
              <w:t xml:space="preserve">Authentication Context</w:t>
            </w:r>
            <w:r>
              <w:t xml:space="preserve"> </w:t>
            </w:r>
            <w:r>
              <w:rPr>
                <w:rStyle w:val="VerbatimChar"/>
              </w:rPr>
              <w:t xml:space="preserve">c1</w:t>
            </w:r>
            <w:r>
              <w:t xml:space="preserve"> </w:t>
            </w:r>
            <w:r>
              <w:t xml:space="preserve">bound to PIM activation requires fresh MFA proof at every activation, regardless of session age; IA-11 satisfied for all privileged role activations</w:t>
            </w:r>
          </w:p>
        </w:tc>
        <w:tc>
          <w:tcPr/>
          <w:p>
            <w:pPr>
              <w:pStyle w:val="Compact"/>
            </w:pPr>
            <w:r>
              <w:t xml:space="preserve">NIST SP 800-53 Rev 5 IA-11</w:t>
            </w:r>
          </w:p>
        </w:tc>
      </w:tr>
    </w:tbl>
    <w:p>
      <w:pPr>
        <w:pStyle w:val="BodyText"/>
      </w:pPr>
      <w:r>
        <w:rPr>
          <w:b/>
          <w:bCs/>
        </w:rPr>
        <w:t xml:space="preserve">FedRAMP 20x Key Security Indicator Alignment</w:t>
      </w:r>
    </w:p>
    <w:p>
      <w:pPr>
        <w:pStyle w:val="BodyText"/>
      </w:pPr>
      <w:r>
        <w:t xml:space="preserve">FedRAMP 20x KSI-IAM-JIT (Authorizing Just-in-Time) requires a least-privileged, role- and attribute-based, just-in-time authorization approach for privileged roles, with privileged accounts separately inventoried and monitored. The PIM eligible assignment inventory, PIM activation audit trail, and Sentinel alert rules documented in this part directly satisfy KSI-IAM-JIT.</w:t>
      </w:r>
    </w:p>
    <w:p>
      <w:pPr>
        <w:pStyle w:val="BodyText"/>
      </w:pPr>
      <w:r>
        <w:t xml:space="preserve">FedRAMP 20x KSI-IAM-APM (Adopting Passwordless Methods) calls for secure passwordless, phishing-resistant authentication. The combination of Entra ID MFA at PIM activation, FIDO2 hardware keys for break-glass accounts, and PAW device compliance for the Conditional Access session satisfies KSI-IAM-APM at the phishing-resistant tier.</w:t>
      </w:r>
    </w:p>
    <w:p>
      <w:pPr>
        <w:pStyle w:val="BodyText"/>
      </w:pPr>
      <w:r>
        <w:t xml:space="preserve">FedRAMP 20x’s KSI-MLA (Monitoring, Logging, and Auditing) theme covers monitoring privileged workstations with endpoint detection —</w:t>
      </w:r>
      <w:r>
        <w:t xml:space="preserve"> </w:t>
      </w:r>
      <w:r>
        <w:t xml:space="preserve">“EDR”</w:t>
      </w:r>
      <w:r>
        <w:t xml:space="preserve"> </w:t>
      </w:r>
      <w:r>
        <w:t xml:space="preserve">is a capability, not a CR26 indicator. The PAW baseline with WDAC, Credential Guard, and Microsoft Defender for Endpoint provides the coverage; the PAW Intune compliance policy ensures it is continuously verified.</w:t>
      </w:r>
    </w:p>
    <w:p>
      <w:pPr>
        <w:pStyle w:val="BodyText"/>
      </w:pPr>
      <w:r>
        <w:t xml:space="preserve">Agencies implementing this document should reference the FedRAMP 20x Machine-Readable Evidence guidelines and capture the following as control evidence artifacts: PIM eligible assignment export (JSON from Microsoft Graph), PIM activation audit log export (90-day retention), Conditional Access policy export, Intune compliance policy export, and the break-glass quarterly test record.</w:t>
      </w:r>
    </w:p>
    <w:p>
      <w:r>
        <w:pict>
          <v:rect style="width:0;height:1.5pt" o:hralign="center" o:hrstd="t" o:hr="t"/>
        </w:pict>
      </w:r>
    </w:p>
    <w:p>
      <w:pPr>
        <w:pStyle w:val="FirstParagraph"/>
      </w:pPr>
      <w:r>
        <w:rPr>
          <w:i/>
          <w:iCs/>
        </w:rPr>
        <w:t xml:space="preserve">Federal Compliance — Vol III Book 01 of the series. Vol III Book 06 (SIEM/XDR Detection) addresses audit log architecture and SIEM integration: structured log forwarding from Arc servers, SQL Server extended events, Entra ID sign-in logs, and PIM audit events into a centralized Log Analytics workspace with Sentinel analytics rules. CyberArk’s Privileged Session Manager (PSM) component — the proxying, time-boxing, and recording layer this book’s vaulting/session-isolation closure relies on — is also the compensating-control evidence source Vol VII Book 07 (VMware) cites for manual, out-of-band vCenter script actuation where no orchestrator yet reaches: a PSM-recorded session, gated by a ServiceNow task’s approval, in place of a</w:t>
      </w:r>
      <w:r>
        <w:rPr>
          <w:i/>
          <w:iCs/>
        </w:rPr>
        <w:t xml:space="preserve"> </w:t>
      </w:r>
      <w:r>
        <w:rPr>
          <w:i/>
          <w:iCs/>
        </w:rPr>
        <w:t xml:space="preserve">“run successfully”</w:t>
      </w:r>
      <w:r>
        <w:rPr>
          <w:i/>
          <w:iCs/>
        </w:rPr>
        <w:t xml:space="preserve"> </w:t>
      </w:r>
      <w:r>
        <w:rPr>
          <w:i/>
          <w:iCs/>
        </w:rPr>
        <w:t xml:space="preserve">reply.</w:t>
      </w:r>
    </w:p>
    <w:bookmarkStart w:id="47" w:name="draft-proposal-subject-to-review-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47"/>
    <w:p>
      <w:pPr>
        <w:pStyle w:val="BodyText"/>
      </w:pPr>
      <w:r>
        <w:rPr>
          <w:b/>
          <w:bCs/>
        </w:rPr>
        <w:t xml:space="preserve">Series Context</w:t>
      </w:r>
      <w:r>
        <w:t xml:space="preserve"> </w:t>
      </w:r>
      <w:r>
        <w:t xml:space="preserve">— This document is Vol III Book 02 of the Federal Compliance series. Vol I Book 01 and the Volume II SQL Server books (Vol II Book 01–02) established the asset enumeration foundation: InfoBlox IPAM provides the authoritative IP and hostname inventory; Azure Arc enrollment provides the managed-node registry; the SQL Server implementation guide extends that registry to database instances. You cannot scan what you have not enumerated. Volumes I and II, plus Vol III Book 01 (Privileged Access Management), close the enumeration gap. This part establishes what to do with the enumeration: continuous vulnerability posture management linked to CISA’s Known Exploited Vulnerabilities catalog and automated patch delivery through Windows Update for Business.</w:t>
      </w:r>
    </w:p>
    <w:bookmarkStart w:id="48" w:name="X718f60135985f66ecdefa91479073b8947e17da"/>
    <w:p>
      <w:pPr>
        <w:pStyle w:val="Heading2"/>
      </w:pPr>
      <w:r>
        <w:t xml:space="preserve">Scope Boundary — Assessment Here, Multi-CSP Actuation Next Door</w:t>
      </w:r>
    </w:p>
    <w:p>
      <w:pPr>
        <w:pStyle w:val="FirstParagraph"/>
      </w:pPr>
      <w:r>
        <w:t xml:space="preserve">This book is the</w:t>
      </w:r>
      <w:r>
        <w:t xml:space="preserve"> </w:t>
      </w:r>
      <w:r>
        <w:rPr>
          <w:b/>
          <w:bCs/>
        </w:rPr>
        <w:t xml:space="preserve">assessment and prioritization half</w:t>
      </w:r>
      <w:r>
        <w:t xml:space="preserve"> </w:t>
      </w:r>
      <w:r>
        <w:t xml:space="preserve">of the vulnerability plane — RA-5 scanning, KEV cross-reference, risk-based SLAs, and the machine-readable compliance record — worked as the</w:t>
      </w:r>
      <w:r>
        <w:t xml:space="preserve"> </w:t>
      </w:r>
      <w:r>
        <w:rPr>
          <w:b/>
          <w:bCs/>
        </w:rPr>
        <w:t xml:space="preserve">Microsoft/Defender reference implementation</w:t>
      </w:r>
      <w:r>
        <w:t xml:space="preserve"> </w:t>
      </w:r>
      <w:r>
        <w:t xml:space="preserve">of the series’ evidence contract. The</w:t>
      </w:r>
      <w:r>
        <w:t xml:space="preserve"> </w:t>
      </w:r>
      <w:r>
        <w:rPr>
          <w:b/>
          <w:bCs/>
        </w:rPr>
        <w:t xml:space="preserve">remediation-actuation half (SI-2)</w:t>
      </w:r>
      <w:r>
        <w:t xml:space="preserve"> </w:t>
      </w:r>
      <w:r>
        <w:t xml:space="preserve">across the other platforms an agency runs — AWS Systems Manager, Oracle OS Management Hub and Ksplice, VMware vSphere Lifecycle Manager, Red Hat Satellite/Ansible — and the unified compliance record that coordinates them live in the</w:t>
      </w:r>
      <w:r>
        <w:t xml:space="preserve"> </w:t>
      </w:r>
      <w:r>
        <w:rPr>
          <w:b/>
          <w:bCs/>
        </w:rPr>
        <w:t xml:space="preserve">Patch &amp; Systems Management</w:t>
      </w:r>
      <w:r>
        <w:t xml:space="preserve"> </w:t>
      </w:r>
      <w:r>
        <w:t xml:space="preserve">book, per the Management-Plane Coordination Doctrine (Executive Summary). Windows Update for Business and Azure Update Manager appear here as the Microsoft delivery examples; that book generalizes them to the whole estate.</w:t>
      </w:r>
    </w:p>
    <w:bookmarkEnd w:id="48"/>
    <w:bookmarkEnd w:id="49"/>
    <w:bookmarkStart w:id="50" w:name="what-this-document-addresses-1"/>
    <w:p>
      <w:pPr>
        <w:pStyle w:val="Heading1"/>
      </w:pPr>
      <w:r>
        <w:t xml:space="preserve">What This Document Addresses</w:t>
      </w:r>
    </w:p>
    <w:p>
      <w:pPr>
        <w:pStyle w:val="FirstParagraph"/>
      </w:pPr>
      <w:r>
        <w:t xml:space="preserve">Federal vulnerability management fails at three distinct points, and FedRAMP assessors have learned to probe all three. The first failure is enumeration: assessors ask to see the asset inventory and find that it was produced six months ago by a one-time Nessus scan, does not include cloud-hosted assets, and does not account for assets added after the scan date. Volume I and the Vol II SQL Server books (Vol II Book 01–02) close that gap. The second failure is prioritization: agencies receive vulnerability findings ranked by CVSS score and apply generic severity buckets — Critical gets patched in 30 days, High in 60 days — without cross-referencing against the CISA Known Exploited Vulnerabilities (KEV) catalog, which represents the empirical set of vulnerabilities actively weaponized in the wild. The third failure is evidence: when an assessor asks whether the patch SLA was met for a specific CVE on a specific machine, the agency cannot produce a machine-readable record. There is no continuous output that tracks CVE-to-machine-to-patch-date. Each assessment cycle involves manual evidence assembly from disparate tools.</w:t>
      </w:r>
    </w:p>
    <w:p>
      <w:pPr>
        <w:pStyle w:val="BodyText"/>
      </w:pPr>
      <w:r>
        <w:t xml:space="preserve">This document closes the second and third gaps. It builds on the Arc-enrolled inventory from Vol II Book 01 (SQL Server Authentication Modernization) and the SQL Server inventory from Vol II Book 02 (SQL Server Implementation Guide) to establish: (a) a continuous vulnerability scan using Microsoft Defender Vulnerability Management (MDVM) delivered through the Arc monitoring channel already deployed, (b) daily cross-reference against the CISA KEV catalog JSON feed, (c) a prioritized patch queue with BOD 26-04 risk-based SLA assignments, (d) automated patch delivery through Intune Windows Update for Business rings, and (e) a daily machine-readable compliance record that becomes the RA-5 KSI artifact for FedRAMP 20x.</w:t>
      </w:r>
    </w:p>
    <w:p>
      <w:pPr>
        <w:pStyle w:val="BodyText"/>
      </w:pPr>
      <w:r>
        <w:t xml:space="preserve">The architecture deliberately avoids introducing new agents. Every Arc-enrolled server already runs the Azure Monitor Agent (AMA). Microsoft Defender for Endpoint (MDE) uses that same channel for its vulnerability assessment module. No additional per-server software deployment is required for the vulnerability scanning capability — the scanner follows the inventory, not the other way around.</w:t>
      </w:r>
    </w:p>
    <w:p>
      <w:r>
        <w:pict>
          <v:rect style="width:0;height:1.5pt" o:hralign="center" o:hrstd="t" o:hr="t"/>
        </w:pict>
      </w:r>
    </w:p>
    <w:bookmarkEnd w:id="50"/>
    <w:bookmarkStart w:id="54" w:name="the-patch-sla-gap"/>
    <w:p>
      <w:pPr>
        <w:pStyle w:val="Heading1"/>
      </w:pPr>
      <w:r>
        <w:t xml:space="preserve">The Patch SLA Gap</w:t>
      </w:r>
    </w:p>
    <w:bookmarkStart w:id="51" w:name="what-fedramp-assessors-check"/>
    <w:p>
      <w:pPr>
        <w:pStyle w:val="Heading2"/>
      </w:pPr>
      <w:r>
        <w:t xml:space="preserve">What FedRAMP Assessors Check</w:t>
      </w:r>
    </w:p>
    <w:p>
      <w:pPr>
        <w:pStyle w:val="FirstParagraph"/>
      </w:pPr>
      <w:r>
        <w:t xml:space="preserve">FedRAMP assessors evaluating RA-5 (Vulnerability Monitoring and Scanning) and SI-2 (Flaw Remediation) look for three things in sequence. First, is there a vulnerability scanner? A scanner that runs quarterly satisfies the question technically but triggers immediate follow-up about continuous monitoring. Second, is there a documented patch SLA by severity tier? Most agencies have a policy document with CVSS-based tiers. Third — and this is where most agencies fail — is the SLA being met, and can the agency demonstrate this with a machine-readable record that shows CVE, affected machine, detection date, patch date, and SLA outcome?</w:t>
      </w:r>
    </w:p>
    <w:p>
      <w:pPr>
        <w:pStyle w:val="BodyText"/>
      </w:pPr>
      <w:r>
        <w:t xml:space="preserve">The third question is where the assessment typically stalls. An agency can show a scan report. It can show a policy document. But when the assessor asks</w:t>
      </w:r>
      <w:r>
        <w:t xml:space="preserve"> </w:t>
      </w:r>
      <w:r>
        <w:t xml:space="preserve">“show me CVE-2023-34362 on machine SQL-PROD-07, when it was detected, when it was patched, and whether that fell within your stated SLA,”</w:t>
      </w:r>
      <w:r>
        <w:t xml:space="preserve"> </w:t>
      </w:r>
      <w:r>
        <w:t xml:space="preserve">the answer requires pulling from a vulnerability scanner, correlating with a patch management system, and manually assembling a record that may not exist in the format requested.</w:t>
      </w:r>
    </w:p>
    <w:p>
      <w:pPr>
        <w:pStyle w:val="BodyText"/>
      </w:pPr>
      <w:r>
        <w:t xml:space="preserve">This document’s architecture produces that record continuously and automatically.</w:t>
      </w:r>
    </w:p>
    <w:bookmarkEnd w:id="51"/>
    <w:bookmarkStart w:id="52" w:name="cisa-bod-26-04-and-the-kev-catalog"/>
    <w:p>
      <w:pPr>
        <w:pStyle w:val="Heading2"/>
      </w:pPr>
      <w:r>
        <w:t xml:space="preserve">CISA BOD 26-04 and the KEV Catalog</w:t>
      </w:r>
    </w:p>
    <w:p>
      <w:pPr>
        <w:pStyle w:val="FirstParagraph"/>
      </w:pPr>
      <w:r>
        <w:t xml:space="preserve">Binding Operational Directive 22-01, issued by CISA in November 2021, established the Known Exploited Vulnerabilities catalog as a binding federal requirement. BOD 22-01 applied to all federal civilian executive branch agencies under FISMA; BOD 26-04 carries that scope forward. The KEV catalog (available at</w:t>
      </w:r>
      <w:r>
        <w:t xml:space="preserve"> </w:t>
      </w:r>
      <w:r>
        <w:rPr>
          <w:rStyle w:val="VerbatimChar"/>
        </w:rPr>
        <w:t xml:space="preserve">https://www.cisa.gov/known-exploited-vulnerabilities-catalog</w:t>
      </w:r>
      <w:r>
        <w:t xml:space="preserve">) is updated daily and published as a structured JSON feed at</w:t>
      </w:r>
      <w:r>
        <w:t xml:space="preserve"> </w:t>
      </w:r>
      <w:r>
        <w:rPr>
          <w:rStyle w:val="VerbatimChar"/>
        </w:rPr>
        <w:t xml:space="preserve">https://www.cisa.gov/sites/default/files/feeds/known_exploited_vulnerabilities.json</w:t>
      </w:r>
      <w:r>
        <w:t xml:space="preserve">.</w:t>
      </w:r>
    </w:p>
    <w:p>
      <w:pPr>
        <w:pStyle w:val="BodyText"/>
      </w:pPr>
      <w:r>
        <w:t xml:space="preserve">The directive requires agencies to remediate each KEV entry by the</w:t>
      </w:r>
      <w:r>
        <w:t xml:space="preserve"> </w:t>
      </w:r>
      <w:r>
        <w:rPr>
          <w:b/>
          <w:bCs/>
        </w:rPr>
        <w:t xml:space="preserve">due date CISA assigns to that entry in the catalog</w:t>
      </w:r>
      <w:r>
        <w:t xml:space="preserve"> </w:t>
      </w:r>
      <w:r>
        <w:t xml:space="preserve">— historically within about two weeks for CVEs assigned in 2021 or later, and within six months for pre-2021 CVEs. BOD 22-01 sets</w:t>
      </w:r>
      <w:r>
        <w:t xml:space="preserve"> </w:t>
      </w:r>
      <w:r>
        <w:rPr>
          <w:b/>
          <w:bCs/>
        </w:rPr>
        <w:t xml:space="preserve">no</w:t>
      </w:r>
      <w:r>
        <w:t xml:space="preserve"> </w:t>
      </w:r>
      <w:r>
        <w:t xml:space="preserve">internet-facing/internal split; the per-entry catalog due date applies regardless of network exposure. (The exposure-based tiering below is Agency’s own operational SLA, at least as tight as the catalog deadline; a network-exposure split historically traces to the now-superseded BOD 19-02, which used critical-15-day / high-30-day timelines. BOD 22-01 and BOD 19-02 were both</w:t>
      </w:r>
      <w:r>
        <w:t xml:space="preserve"> </w:t>
      </w:r>
      <w:r>
        <w:rPr>
          <w:b/>
          <w:bCs/>
        </w:rPr>
        <w:t xml:space="preserve">revoked</w:t>
      </w:r>
      <w:r>
        <w:t xml:space="preserve"> </w:t>
      </w:r>
      <w:r>
        <w:t xml:space="preserve">— not merely superseded — by</w:t>
      </w:r>
      <w:r>
        <w:t xml:space="preserve"> </w:t>
      </w:r>
      <w:r>
        <w:rPr>
          <w:b/>
          <w:bCs/>
        </w:rPr>
        <w:t xml:space="preserve">BOD 26-04</w:t>
      </w:r>
      <w:r>
        <w:t xml:space="preserve"> </w:t>
      </w:r>
      <w:r>
        <w:t xml:space="preserve">on 10 June 2026; CISA now publishes the BOD 22-01 page at a</w:t>
      </w:r>
      <w:r>
        <w:t xml:space="preserve"> </w:t>
      </w:r>
      <w:r>
        <w:rPr>
          <w:rStyle w:val="VerbatimChar"/>
        </w:rPr>
        <w:t xml:space="preserve">-revoked</w:t>
      </w:r>
      <w:r>
        <w:t xml:space="preserve"> </w:t>
      </w:r>
      <w:r>
        <w:t xml:space="preserve">URL. Its risk-based model this program also honors.) These deadlines are binding requirements with reporting obligations.</w:t>
      </w:r>
    </w:p>
    <w:p>
      <w:pPr>
        <w:pStyle w:val="BodyText"/>
      </w:pPr>
      <w:r>
        <w:t xml:space="preserve">The consequence for FedRAMP is significant. CVSS 9.0 (Critical) without KEV status carries Agency’s 15-day non-KEV Critical SLA. But a CVSS 7.5 (High) that appears in the KEV catalog must be remediated by its CISA-assigned KEV due date — and carries Agency’s P0/P1 KEV SLA (14–28 days), far tighter than the 30-day non-KEV High tier. The KEV intersection changes the priority ordering entirely. Agencies that prioritize solely by CVSS will systematically under-prioritize exploited vulnerabilities.</w:t>
      </w:r>
    </w:p>
    <w:bookmarkEnd w:id="52"/>
    <w:bookmarkStart w:id="53" w:name="patch-sla-table"/>
    <w:p>
      <w:pPr>
        <w:pStyle w:val="Heading2"/>
      </w:pPr>
      <w:r>
        <w:t xml:space="preserve">Patch SLA Table</w:t>
      </w:r>
    </w:p>
    <w:p>
      <w:pPr>
        <w:pStyle w:val="FirstParagraph"/>
      </w:pPr>
      <w:r>
        <w:t xml:space="preserve">The following table defines the SLA tiers used in this implementation. The underlying KEV obligation — remediate by the CISA-assigned catalog due date — now rides on BOD 26-04, in which KEV listing is one of four risk variables rather than a free-standing obligation; the P0/P1 internet-facing vs internal split and their day counts are Agency’s own operational SLA (set at least as tight as the catalog deadline). The non-KEV tiers follow NIST SP 800-40 Rev 4 guidance and align with standard FedRAMP Moderate patch-management expectations.</w:t>
      </w:r>
    </w:p>
    <w:p>
      <w:pPr>
        <w:pStyle w:val="TableCaption"/>
      </w:pPr>
      <w:r>
        <w:t xml:space="preserve">Patch SLA tiers by priority class</w:t>
      </w:r>
    </w:p>
    <w:tbl>
      <w:tblPr>
        <w:tblStyle w:val="Table"/>
        <w:tblW w:type="pct" w:w="5000"/>
        <w:tblLayout w:type="fixed"/>
        <w:tblLook w:firstRow="1" w:lastRow="0" w:firstColumn="0" w:lastColumn="0" w:noHBand="0" w:noVBand="0" w:val="0020"/>
        <w:tblCaption w:val="Patch SLA tiers by priority class"/>
      </w:tblPr>
      <w:tblGrid>
        <w:gridCol w:w="1980"/>
        <w:gridCol w:w="1980"/>
        <w:gridCol w:w="1980"/>
        <w:gridCol w:w="1980"/>
      </w:tblGrid>
      <w:tr>
        <w:trPr>
          <w:tblHeader w:val="on"/>
        </w:trPr>
        <w:tc>
          <w:tcPr/>
          <w:p>
            <w:pPr>
              <w:pStyle w:val="Compact"/>
            </w:pPr>
            <w:r>
              <w:t xml:space="preserve">Priority</w:t>
            </w:r>
          </w:p>
        </w:tc>
        <w:tc>
          <w:tcPr/>
          <w:p>
            <w:pPr>
              <w:pStyle w:val="Compact"/>
            </w:pPr>
            <w:r>
              <w:t xml:space="preserve">Criteria</w:t>
            </w:r>
          </w:p>
        </w:tc>
        <w:tc>
          <w:tcPr/>
          <w:p>
            <w:pPr>
              <w:pStyle w:val="Compact"/>
            </w:pPr>
            <w:r>
              <w:t xml:space="preserve">SLA (Calendar Days)</w:t>
            </w:r>
          </w:p>
        </w:tc>
        <w:tc>
          <w:tcPr/>
          <w:p>
            <w:pPr>
              <w:pStyle w:val="Compact"/>
            </w:pPr>
            <w:r>
              <w:t xml:space="preserve">Authority</w:t>
            </w:r>
          </w:p>
        </w:tc>
      </w:tr>
      <w:tr>
        <w:tc>
          <w:tcPr/>
          <w:p>
            <w:pPr>
              <w:pStyle w:val="Compact"/>
            </w:pPr>
            <w:r>
              <w:t xml:space="preserve">P0 — KEV Internet-Facing</w:t>
            </w:r>
          </w:p>
        </w:tc>
        <w:tc>
          <w:tcPr/>
          <w:p>
            <w:pPr>
              <w:pStyle w:val="Compact"/>
            </w:pPr>
            <w:r>
              <w:t xml:space="preserve">CVE in CISA KEV AND system has external exposure</w:t>
            </w:r>
          </w:p>
        </w:tc>
        <w:tc>
          <w:tcPr/>
          <w:p>
            <w:pPr>
              <w:pStyle w:val="Compact"/>
            </w:pPr>
            <w:r>
              <w:t xml:space="preserve">14 days</w:t>
            </w:r>
          </w:p>
        </w:tc>
        <w:tc>
          <w:tcPr/>
          <w:p>
            <w:pPr>
              <w:pStyle w:val="Compact"/>
            </w:pPr>
            <w:r>
              <w:t xml:space="preserve">BOD 26-04 (KEV listing variable; CISA KEV due date); Agency SLA tier</w:t>
            </w:r>
          </w:p>
        </w:tc>
      </w:tr>
      <w:tr>
        <w:tc>
          <w:tcPr/>
          <w:p>
            <w:pPr>
              <w:pStyle w:val="Compact"/>
            </w:pPr>
            <w:r>
              <w:t xml:space="preserve">P1 — KEV Internal</w:t>
            </w:r>
          </w:p>
        </w:tc>
        <w:tc>
          <w:tcPr/>
          <w:p>
            <w:pPr>
              <w:pStyle w:val="Compact"/>
            </w:pPr>
            <w:r>
              <w:t xml:space="preserve">CVE in CISA KEV AND system is internal only</w:t>
            </w:r>
          </w:p>
        </w:tc>
        <w:tc>
          <w:tcPr/>
          <w:p>
            <w:pPr>
              <w:pStyle w:val="Compact"/>
            </w:pPr>
            <w:r>
              <w:t xml:space="preserve">28 days</w:t>
            </w:r>
          </w:p>
        </w:tc>
        <w:tc>
          <w:tcPr/>
          <w:p>
            <w:pPr>
              <w:pStyle w:val="Compact"/>
            </w:pPr>
            <w:r>
              <w:t xml:space="preserve">BOD 26-04 (KEV listing variable; CISA KEV due date); Agency SLA tier</w:t>
            </w:r>
          </w:p>
        </w:tc>
      </w:tr>
      <w:tr>
        <w:tc>
          <w:tcPr/>
          <w:p>
            <w:pPr>
              <w:pStyle w:val="Compact"/>
            </w:pPr>
            <w:r>
              <w:t xml:space="preserve">P2 — Critical Non-KEV</w:t>
            </w:r>
          </w:p>
        </w:tc>
        <w:tc>
          <w:tcPr/>
          <w:p>
            <w:pPr>
              <w:pStyle w:val="Compact"/>
            </w:pPr>
            <w:r>
              <w:t xml:space="preserve">CVSS 9.0–10.0, not in KEV</w:t>
            </w:r>
          </w:p>
        </w:tc>
        <w:tc>
          <w:tcPr/>
          <w:p>
            <w:pPr>
              <w:pStyle w:val="Compact"/>
            </w:pPr>
            <w:r>
              <w:t xml:space="preserve">15 days</w:t>
            </w:r>
          </w:p>
        </w:tc>
        <w:tc>
          <w:tcPr/>
          <w:p>
            <w:pPr>
              <w:pStyle w:val="Compact"/>
            </w:pPr>
            <w:r>
              <w:t xml:space="preserve">Agency policy (informed by SP 800-40 R4; 15-day count traces to superseded BOD 19-02)</w:t>
            </w:r>
          </w:p>
        </w:tc>
      </w:tr>
      <w:tr>
        <w:tc>
          <w:tcPr/>
          <w:p>
            <w:pPr>
              <w:pStyle w:val="Compact"/>
            </w:pPr>
            <w:r>
              <w:t xml:space="preserve">P3 — High Non-KEV</w:t>
            </w:r>
          </w:p>
        </w:tc>
        <w:tc>
          <w:tcPr/>
          <w:p>
            <w:pPr>
              <w:pStyle w:val="Compact"/>
            </w:pPr>
            <w:r>
              <w:t xml:space="preserve">CVSS 7.0–8.9, not in KEV</w:t>
            </w:r>
          </w:p>
        </w:tc>
        <w:tc>
          <w:tcPr/>
          <w:p>
            <w:pPr>
              <w:pStyle w:val="Compact"/>
            </w:pPr>
            <w:r>
              <w:t xml:space="preserve">30 days</w:t>
            </w:r>
          </w:p>
        </w:tc>
        <w:tc>
          <w:tcPr/>
          <w:p>
            <w:pPr>
              <w:pStyle w:val="Compact"/>
            </w:pPr>
            <w:r>
              <w:t xml:space="preserve">Agency policy (informed by SP 800-40 R4; 30-day count traces to superseded BOD 19-02)</w:t>
            </w:r>
          </w:p>
        </w:tc>
      </w:tr>
      <w:tr>
        <w:tc>
          <w:tcPr/>
          <w:p>
            <w:pPr>
              <w:pStyle w:val="Compact"/>
            </w:pPr>
            <w:r>
              <w:t xml:space="preserve">P4 — Medium</w:t>
            </w:r>
          </w:p>
        </w:tc>
        <w:tc>
          <w:tcPr/>
          <w:p>
            <w:pPr>
              <w:pStyle w:val="Compact"/>
            </w:pPr>
            <w:r>
              <w:t xml:space="preserve">CVSS 4.0–6.9</w:t>
            </w:r>
          </w:p>
        </w:tc>
        <w:tc>
          <w:tcPr/>
          <w:p>
            <w:pPr>
              <w:pStyle w:val="Compact"/>
            </w:pPr>
            <w:r>
              <w:t xml:space="preserve">90 days</w:t>
            </w:r>
          </w:p>
        </w:tc>
        <w:tc>
          <w:tcPr/>
          <w:p>
            <w:pPr>
              <w:pStyle w:val="Compact"/>
            </w:pPr>
            <w:r>
              <w:t xml:space="preserve">Agency Policy</w:t>
            </w:r>
          </w:p>
        </w:tc>
      </w:tr>
      <w:tr>
        <w:tc>
          <w:tcPr/>
          <w:p>
            <w:pPr>
              <w:pStyle w:val="Compact"/>
            </w:pPr>
            <w:r>
              <w:t xml:space="preserve">P5 — Low</w:t>
            </w:r>
          </w:p>
        </w:tc>
        <w:tc>
          <w:tcPr/>
          <w:p>
            <w:pPr>
              <w:pStyle w:val="Compact"/>
            </w:pPr>
            <w:r>
              <w:t xml:space="preserve">CVSS 0.1–3.9</w:t>
            </w:r>
          </w:p>
        </w:tc>
        <w:tc>
          <w:tcPr/>
          <w:p>
            <w:pPr>
              <w:pStyle w:val="Compact"/>
            </w:pPr>
            <w:r>
              <w:t xml:space="preserve">180 days</w:t>
            </w:r>
          </w:p>
        </w:tc>
        <w:tc>
          <w:tcPr/>
          <w:p>
            <w:pPr>
              <w:pStyle w:val="Compact"/>
            </w:pPr>
            <w:r>
              <w:t xml:space="preserve">Agency Policy</w:t>
            </w:r>
          </w:p>
        </w:tc>
      </w:tr>
    </w:tbl>
    <w:p>
      <w:pPr>
        <w:pStyle w:val="BodyText"/>
      </w:pPr>
      <w:r>
        <w:rPr>
          <w:b/>
          <w:bCs/>
        </w:rPr>
        <w:t xml:space="preserve">KEV Intersection Is Not Automatic</w:t>
      </w:r>
      <w:r>
        <w:t xml:space="preserve"> </w:t>
      </w:r>
      <w:r>
        <w:t xml:space="preserve">— No vulnerability scanner automatically flags KEV status. The CVSS score and the KEV catalog are maintained by different organizations (NVD/CVSS by NIST, KEV by CISA) and are not linked in standard scanner outputs. The cross-reference must be performed explicitly, either through a tool that integrates both feeds or through the automation described in Section 3 of this document.</w:t>
      </w:r>
    </w:p>
    <w:p>
      <w:r>
        <w:pict>
          <v:rect style="width:0;height:1.5pt" o:hralign="center" o:hrstd="t" o:hr="t"/>
        </w:pict>
      </w:r>
    </w:p>
    <w:bookmarkEnd w:id="53"/>
    <w:bookmarkEnd w:id="54"/>
    <w:bookmarkStart w:id="58" w:name="X2b442fc05acc20b7ed6470dfff2832445fc2597"/>
    <w:p>
      <w:pPr>
        <w:pStyle w:val="Heading1"/>
      </w:pPr>
      <w:r>
        <w:t xml:space="preserve">Defender for Endpoint and Arc Integration</w:t>
      </w:r>
    </w:p>
    <w:bookmarkStart w:id="55" w:name="how-mdvm-uses-the-arc-agent-channel"/>
    <w:p>
      <w:pPr>
        <w:pStyle w:val="Heading2"/>
      </w:pPr>
      <w:r>
        <w:t xml:space="preserve">How MDVM Uses the Arc Agent Channel</w:t>
      </w:r>
    </w:p>
    <w:p>
      <w:pPr>
        <w:pStyle w:val="FirstParagraph"/>
      </w:pPr>
      <w:r>
        <w:t xml:space="preserve">Microsoft Defender Vulnerability Management (MDVM) is the vulnerability assessment module within Microsoft Defender for Endpoint (MDE). On Arc-enrolled servers, MDVM uses the Azure Monitor Agent (AMA) channel that was installed during Arc enrollment. This is the critical architectural point: the scanning infrastructure already exists on every Arc-enrolled machine. No additional agent installation, no additional firewall rules, no separate scanner credentials.</w:t>
      </w:r>
    </w:p>
    <w:p>
      <w:pPr>
        <w:pStyle w:val="BodyText"/>
      </w:pPr>
      <w:r>
        <w:t xml:space="preserve">The AMA channel was established in Vol II Book 02 (SQL Server Implementation Guide) of this series as the mechanism through which Arc-enrolled servers report hardware inventory, software inventory, and configuration state to Azure. MDVM piggybacks on this same channel to deliver:</w:t>
      </w:r>
    </w:p>
    <w:p>
      <w:pPr>
        <w:pStyle w:val="Compact"/>
        <w:numPr>
          <w:ilvl w:val="0"/>
          <w:numId w:val="1009"/>
        </w:numPr>
      </w:pPr>
      <w:r>
        <w:rPr>
          <w:b/>
          <w:bCs/>
        </w:rPr>
        <w:t xml:space="preserve">Software inventory</w:t>
      </w:r>
      <w:r>
        <w:t xml:space="preserve"> </w:t>
      </w:r>
      <w:r>
        <w:t xml:space="preserve">— all installed software with version numbers, compared against vendor support lifecycle data</w:t>
      </w:r>
    </w:p>
    <w:p>
      <w:pPr>
        <w:pStyle w:val="Compact"/>
        <w:numPr>
          <w:ilvl w:val="0"/>
          <w:numId w:val="1009"/>
        </w:numPr>
      </w:pPr>
      <w:r>
        <w:rPr>
          <w:b/>
          <w:bCs/>
        </w:rPr>
        <w:t xml:space="preserve">Missing patches</w:t>
      </w:r>
      <w:r>
        <w:t xml:space="preserve"> </w:t>
      </w:r>
      <w:r>
        <w:t xml:space="preserve">— operating system patches from Windows Update not yet applied, cross-referenced against CVSS scores and KEV status</w:t>
      </w:r>
    </w:p>
    <w:p>
      <w:pPr>
        <w:pStyle w:val="Compact"/>
        <w:numPr>
          <w:ilvl w:val="0"/>
          <w:numId w:val="1009"/>
        </w:numPr>
      </w:pPr>
      <w:r>
        <w:rPr>
          <w:b/>
          <w:bCs/>
        </w:rPr>
        <w:t xml:space="preserve">Security configurations</w:t>
      </w:r>
      <w:r>
        <w:t xml:space="preserve"> </w:t>
      </w:r>
      <w:r>
        <w:t xml:space="preserve">— registry settings, service configurations, and enabled features compared against security baselines</w:t>
      </w:r>
    </w:p>
    <w:p>
      <w:pPr>
        <w:pStyle w:val="Compact"/>
        <w:numPr>
          <w:ilvl w:val="0"/>
          <w:numId w:val="1009"/>
        </w:numPr>
      </w:pPr>
      <w:r>
        <w:rPr>
          <w:b/>
          <w:bCs/>
        </w:rPr>
        <w:t xml:space="preserve">SQL Server inventory</w:t>
      </w:r>
      <w:r>
        <w:t xml:space="preserve"> </w:t>
      </w:r>
      <w:r>
        <w:t xml:space="preserve">— SQL Server instances, versions, and cumulative update levels (critical for Section 5)</w:t>
      </w:r>
    </w:p>
    <w:p>
      <w:pPr>
        <w:pStyle w:val="FirstParagraph"/>
      </w:pPr>
      <w:r>
        <w:t xml:space="preserve">The result is that Arc enrollment is the single gate that enables vulnerability management. An agent added to the Arc inventory is automatically scanned. An agent removed from Arc enrollment is automatically removed from the scan scope. The inventory and the scan scope are always in sync because they are the same list.</w:t>
      </w:r>
    </w:p>
    <w:bookmarkEnd w:id="55"/>
    <w:bookmarkStart w:id="56" w:name="coverage-matrix"/>
    <w:p>
      <w:pPr>
        <w:pStyle w:val="Heading2"/>
      </w:pPr>
      <w:r>
        <w:t xml:space="preserve">Coverage Matrix</w:t>
      </w:r>
    </w:p>
    <w:p>
      <w:pPr>
        <w:pStyle w:val="TableCaption"/>
      </w:pPr>
      <w:r>
        <w:t xml:space="preserve">MDVM coverage matrix for Arc-enrolled assets</w:t>
      </w:r>
    </w:p>
    <w:tbl>
      <w:tblPr>
        <w:tblStyle w:val="Table"/>
        <w:tblW w:type="pct" w:w="5000"/>
        <w:tblLayout w:type="fixed"/>
        <w:tblLook w:firstRow="1" w:lastRow="0" w:firstColumn="0" w:lastColumn="0" w:noHBand="0" w:noVBand="0" w:val="0020"/>
        <w:tblCaption w:val="MDVM coverage matrix for Arc-enrolled assets"/>
      </w:tblPr>
      <w:tblGrid>
        <w:gridCol w:w="2640"/>
        <w:gridCol w:w="2640"/>
        <w:gridCol w:w="2640"/>
      </w:tblGrid>
      <w:tr>
        <w:trPr>
          <w:tblHeader w:val="on"/>
        </w:trPr>
        <w:tc>
          <w:tcPr/>
          <w:p>
            <w:pPr>
              <w:pStyle w:val="Compact"/>
            </w:pPr>
            <w:r>
              <w:t xml:space="preserve">OS / Component</w:t>
            </w:r>
          </w:p>
        </w:tc>
        <w:tc>
          <w:tcPr/>
          <w:p>
            <w:pPr>
              <w:pStyle w:val="Compact"/>
            </w:pPr>
            <w:r>
              <w:t xml:space="preserve">MDVM Coverage</w:t>
            </w:r>
          </w:p>
        </w:tc>
        <w:tc>
          <w:tcPr/>
          <w:p>
            <w:pPr>
              <w:pStyle w:val="Compact"/>
            </w:pPr>
            <w:r>
              <w:t xml:space="preserve">Notes</w:t>
            </w:r>
          </w:p>
        </w:tc>
      </w:tr>
      <w:tr>
        <w:tc>
          <w:tcPr/>
          <w:p>
            <w:pPr>
              <w:pStyle w:val="Compact"/>
            </w:pPr>
            <w:r>
              <w:t xml:space="preserve">Windows Server 2012 R2</w:t>
            </w:r>
          </w:p>
        </w:tc>
        <w:tc>
          <w:tcPr/>
          <w:p>
            <w:pPr>
              <w:pStyle w:val="Compact"/>
            </w:pPr>
            <w:r>
              <w:t xml:space="preserve">Yes (via MMA fallback)</w:t>
            </w:r>
          </w:p>
        </w:tc>
        <w:tc>
          <w:tcPr/>
          <w:p>
            <w:pPr>
              <w:pStyle w:val="Compact"/>
            </w:pPr>
            <w:r>
              <w:t xml:space="preserve">ESU required; MMA not AMA</w:t>
            </w:r>
          </w:p>
        </w:tc>
      </w:tr>
      <w:tr>
        <w:tc>
          <w:tcPr/>
          <w:p>
            <w:pPr>
              <w:pStyle w:val="Compact"/>
            </w:pPr>
            <w:r>
              <w:t xml:space="preserve">Windows Server 2016</w:t>
            </w:r>
          </w:p>
        </w:tc>
        <w:tc>
          <w:tcPr/>
          <w:p>
            <w:pPr>
              <w:pStyle w:val="Compact"/>
            </w:pPr>
            <w:r>
              <w:t xml:space="preserve">Yes</w:t>
            </w:r>
          </w:p>
        </w:tc>
        <w:tc>
          <w:tcPr/>
          <w:p>
            <w:pPr>
              <w:pStyle w:val="Compact"/>
            </w:pPr>
            <w:r>
              <w:t xml:space="preserve">AMA channel</w:t>
            </w:r>
          </w:p>
        </w:tc>
      </w:tr>
      <w:tr>
        <w:tc>
          <w:tcPr/>
          <w:p>
            <w:pPr>
              <w:pStyle w:val="Compact"/>
            </w:pPr>
            <w:r>
              <w:t xml:space="preserve">Windows Server 2019</w:t>
            </w:r>
          </w:p>
        </w:tc>
        <w:tc>
          <w:tcPr/>
          <w:p>
            <w:pPr>
              <w:pStyle w:val="Compact"/>
            </w:pPr>
            <w:r>
              <w:t xml:space="preserve">Yes</w:t>
            </w:r>
          </w:p>
        </w:tc>
        <w:tc>
          <w:tcPr/>
          <w:p>
            <w:pPr>
              <w:pStyle w:val="Compact"/>
            </w:pPr>
            <w:r>
              <w:t xml:space="preserve">AMA channel</w:t>
            </w:r>
          </w:p>
        </w:tc>
      </w:tr>
      <w:tr>
        <w:tc>
          <w:tcPr/>
          <w:p>
            <w:pPr>
              <w:pStyle w:val="Compact"/>
            </w:pPr>
            <w:r>
              <w:t xml:space="preserve">Windows Server 2022</w:t>
            </w:r>
          </w:p>
        </w:tc>
        <w:tc>
          <w:tcPr/>
          <w:p>
            <w:pPr>
              <w:pStyle w:val="Compact"/>
            </w:pPr>
            <w:r>
              <w:t xml:space="preserve">Yes</w:t>
            </w:r>
          </w:p>
        </w:tc>
        <w:tc>
          <w:tcPr/>
          <w:p>
            <w:pPr>
              <w:pStyle w:val="Compact"/>
            </w:pPr>
            <w:r>
              <w:t xml:space="preserve">AMA channel, full baseline</w:t>
            </w:r>
          </w:p>
        </w:tc>
      </w:tr>
      <w:tr>
        <w:tc>
          <w:tcPr/>
          <w:p>
            <w:pPr>
              <w:pStyle w:val="Compact"/>
            </w:pPr>
            <w:r>
              <w:t xml:space="preserve">Windows Server 2025</w:t>
            </w:r>
          </w:p>
        </w:tc>
        <w:tc>
          <w:tcPr/>
          <w:p>
            <w:pPr>
              <w:pStyle w:val="Compact"/>
            </w:pPr>
            <w:r>
              <w:t xml:space="preserve">Yes</w:t>
            </w:r>
          </w:p>
        </w:tc>
        <w:tc>
          <w:tcPr/>
          <w:p>
            <w:pPr>
              <w:pStyle w:val="Compact"/>
            </w:pPr>
            <w:r>
              <w:t xml:space="preserve">AMA channel, full baseline</w:t>
            </w:r>
          </w:p>
        </w:tc>
      </w:tr>
      <w:tr>
        <w:tc>
          <w:tcPr/>
          <w:p>
            <w:pPr>
              <w:pStyle w:val="Compact"/>
            </w:pPr>
            <w:r>
              <w:t xml:space="preserve">SQL Server 2014–2019</w:t>
            </w:r>
          </w:p>
        </w:tc>
        <w:tc>
          <w:tcPr/>
          <w:p>
            <w:pPr>
              <w:pStyle w:val="Compact"/>
            </w:pPr>
            <w:r>
              <w:t xml:space="preserve">Yes (software inventory)</w:t>
            </w:r>
          </w:p>
        </w:tc>
        <w:tc>
          <w:tcPr/>
          <w:p>
            <w:pPr>
              <w:pStyle w:val="Compact"/>
            </w:pPr>
            <w:r>
              <w:t xml:space="preserve">CU-level tracking</w:t>
            </w:r>
          </w:p>
        </w:tc>
      </w:tr>
      <w:tr>
        <w:tc>
          <w:tcPr/>
          <w:p>
            <w:pPr>
              <w:pStyle w:val="Compact"/>
            </w:pPr>
            <w:r>
              <w:t xml:space="preserve">SQL Server 2022</w:t>
            </w:r>
          </w:p>
        </w:tc>
        <w:tc>
          <w:tcPr/>
          <w:p>
            <w:pPr>
              <w:pStyle w:val="Compact"/>
            </w:pPr>
            <w:r>
              <w:t xml:space="preserve">Yes (software inventory + config)</w:t>
            </w:r>
          </w:p>
        </w:tc>
        <w:tc>
          <w:tcPr/>
          <w:p>
            <w:pPr>
              <w:pStyle w:val="Compact"/>
            </w:pPr>
            <w:r>
              <w:t xml:space="preserve">Full baseline</w:t>
            </w:r>
          </w:p>
        </w:tc>
      </w:tr>
      <w:tr>
        <w:tc>
          <w:tcPr/>
          <w:p>
            <w:pPr>
              <w:pStyle w:val="Compact"/>
            </w:pPr>
            <w:r>
              <w:t xml:space="preserve">Windows 10/11 (Intune-joined)</w:t>
            </w:r>
          </w:p>
        </w:tc>
        <w:tc>
          <w:tcPr/>
          <w:p>
            <w:pPr>
              <w:pStyle w:val="Compact"/>
            </w:pPr>
            <w:r>
              <w:t xml:space="preserve">Yes</w:t>
            </w:r>
          </w:p>
        </w:tc>
        <w:tc>
          <w:tcPr/>
          <w:p>
            <w:pPr>
              <w:pStyle w:val="Compact"/>
            </w:pPr>
            <w:r>
              <w:t xml:space="preserve">MDE sensor via Intune</w:t>
            </w:r>
          </w:p>
        </w:tc>
      </w:tr>
      <w:tr>
        <w:tc>
          <w:tcPr/>
          <w:p>
            <w:pPr>
              <w:pStyle w:val="Compact"/>
            </w:pPr>
            <w:r>
              <w:t xml:space="preserve">Linux (Arc-enrolled)</w:t>
            </w:r>
          </w:p>
        </w:tc>
        <w:tc>
          <w:tcPr/>
          <w:p>
            <w:pPr>
              <w:pStyle w:val="Compact"/>
            </w:pPr>
            <w:r>
              <w:t xml:space="preserve">Yes</w:t>
            </w:r>
          </w:p>
        </w:tc>
        <w:tc>
          <w:tcPr/>
          <w:p>
            <w:pPr>
              <w:pStyle w:val="Compact"/>
            </w:pPr>
            <w:r>
              <w:t xml:space="preserve">AMA channel</w:t>
            </w:r>
          </w:p>
        </w:tc>
      </w:tr>
    </w:tbl>
    <w:p>
      <w:pPr>
        <w:pStyle w:val="BodyText"/>
      </w:pPr>
      <w:r>
        <w:rPr>
          <w:b/>
          <w:bCs/>
        </w:rPr>
        <w:t xml:space="preserve">Windows Server 2012 R2 Exception</w:t>
      </w:r>
      <w:r>
        <w:t xml:space="preserve"> </w:t>
      </w:r>
      <w:r>
        <w:t xml:space="preserve">— Windows Server 2012 R2 uses the legacy Microsoft Monitoring Agent (MMA) rather than AMA, because AMA requires Windows Server 2016 or later. Arc enrollment on 2012 R2 provides Extended Security Updates (ESU) at no additional cost and installs MMA for the vulnerability channel. The MDVM data is equivalent; only the agent version differs. All 2012 R2 instances should be on an active upgrade path to 2022.</w:t>
      </w:r>
    </w:p>
    <w:bookmarkEnd w:id="56"/>
    <w:bookmarkStart w:id="57" w:name="X22de9f0b7e674c060eafe00e9b4458a1f0c421d"/>
    <w:p>
      <w:pPr>
        <w:pStyle w:val="Heading2"/>
      </w:pPr>
      <w:r>
        <w:t xml:space="preserve">Verifying MDE Onboarding Status for Arc-Enrolled Machines</w:t>
      </w:r>
    </w:p>
    <w:p>
      <w:pPr>
        <w:pStyle w:val="FirstParagraph"/>
      </w:pPr>
      <w:r>
        <w:t xml:space="preserve">After Arc enrollment, MDVM onboarding is confirmed through the Defender portal. The following PowerShell script queries the Arc-enrolled machine list and cross-references against the MDE onboarding status using the Microsoft Security Graph API. Run this script from a workstation with the</w:t>
      </w:r>
      <w:r>
        <w:t xml:space="preserve"> </w:t>
      </w:r>
      <w:r>
        <w:rPr>
          <w:rStyle w:val="VerbatimChar"/>
        </w:rPr>
        <w:t xml:space="preserve">Az</w:t>
      </w:r>
      <w:r>
        <w:t xml:space="preserve"> </w:t>
      </w:r>
      <w:r>
        <w:t xml:space="preserve">PowerShell module installed and an authenticated session with Defender API permissions (</w:t>
      </w:r>
      <w:r>
        <w:rPr>
          <w:rStyle w:val="VerbatimChar"/>
        </w:rPr>
        <w:t xml:space="preserve">WindowsDefenderATP: Machine.Read.All</w:t>
      </w:r>
      <w:r>
        <w:t xml:space="preserve">).</w:t>
      </w:r>
    </w:p>
    <w:p>
      <w:pPr>
        <w:pStyle w:val="SourceCode"/>
      </w:pPr>
      <w:r>
        <w:rPr>
          <w:rStyle w:val="CommentTok"/>
        </w:rPr>
        <w:t xml:space="preserve"># Verify MDE onboarding status for all Arc-enrolled servers</w:t>
      </w:r>
      <w:r>
        <w:br/>
      </w:r>
      <w:r>
        <w:rPr>
          <w:rStyle w:val="CommentTok"/>
        </w:rPr>
        <w:t xml:space="preserve"># Requires: Az module, Microsoft.Graph module</w:t>
      </w:r>
      <w:r>
        <w:br/>
      </w:r>
      <w:r>
        <w:rPr>
          <w:rStyle w:val="CommentTok"/>
        </w:rPr>
        <w:t xml:space="preserve"># Permissions: WindowsDefenderATP Machine.Read.All, Azure Connected Machine Reader</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".\mde-onboarding-status.csv"</w:t>
      </w:r>
      <w:r>
        <w:br/>
      </w:r>
      <w:r>
        <w:rPr>
          <w:rStyle w:val="OperatorTok"/>
        </w:rPr>
        <w:t xml:space="preserve">)</w:t>
      </w:r>
      <w:r>
        <w:br/>
      </w:r>
      <w:r>
        <w:br/>
      </w:r>
      <w:r>
        <w:rPr>
          <w:rStyle w:val="CommentTok"/>
        </w:rPr>
        <w:t xml:space="preserve"># Authenticate to Azure</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Arc-enrolled machines in the resource group</w:t>
      </w:r>
      <w:r>
        <w:br/>
      </w:r>
      <w:r>
        <w:rPr>
          <w:rStyle w:val="VariableTok"/>
        </w:rPr>
        <w:t xml:space="preserve">$arcMachines</w:t>
      </w:r>
      <w:r>
        <w:rPr>
          <w:rStyle w:val="NormalTok"/>
        </w:rPr>
        <w:t xml:space="preserve"> </w:t>
      </w:r>
      <w:r>
        <w:rPr>
          <w:rStyle w:val="OperatorTok"/>
        </w:rPr>
        <w:t xml:space="preserve">=</w:t>
      </w:r>
      <w:r>
        <w:rPr>
          <w:rStyle w:val="NormalTok"/>
        </w:rPr>
        <w:t xml:space="preserve"> Get-AzConnectedMachine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Location</w:t>
      </w:r>
      <w:r>
        <w:rPr>
          <w:rStyle w:val="OperatorTok"/>
        </w:rPr>
        <w:t xml:space="preserve">,</w:t>
      </w:r>
      <w:r>
        <w:rPr>
          <w:rStyle w:val="NormalTok"/>
        </w:rPr>
        <w:t xml:space="preserve"> OSName</w:t>
      </w:r>
      <w:r>
        <w:rPr>
          <w:rStyle w:val="OperatorTok"/>
        </w:rPr>
        <w:t xml:space="preserve">,</w:t>
      </w:r>
      <w:r>
        <w:rPr>
          <w:rStyle w:val="NormalTok"/>
        </w:rPr>
        <w:t xml:space="preserve"> Status</w:t>
      </w:r>
      <w:r>
        <w:rPr>
          <w:rStyle w:val="OperatorTok"/>
        </w:rPr>
        <w:t xml:space="preserve">,</w:t>
      </w:r>
      <w:r>
        <w:rPr>
          <w:rStyle w:val="NormalTok"/>
        </w:rPr>
        <w:t xml:space="preserve"> AgentVersion</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'ArcId'</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'LastStatusChange'</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LastStatusChange</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$arcMachines</w:t>
      </w:r>
      <w:r>
        <w:rPr>
          <w:rStyle w:val="OperatorTok"/>
        </w:rPr>
        <w:t xml:space="preserve">.</w:t>
      </w:r>
      <w:r>
        <w:rPr>
          <w:rStyle w:val="FunctionTok"/>
        </w:rPr>
        <w:t xml:space="preserve">Count</w:t>
      </w:r>
      <w:r>
        <w:rPr>
          <w:rStyle w:val="OperatorTok"/>
        </w:rPr>
        <w:t xml:space="preserve">)</w:t>
      </w:r>
      <w:r>
        <w:rPr>
          <w:rStyle w:val="StringTok"/>
        </w:rPr>
        <w:t xml:space="preserve"> Arc-enrolled machines"</w:t>
      </w:r>
      <w:r>
        <w:br/>
      </w:r>
      <w:r>
        <w:br/>
      </w:r>
      <w:r>
        <w:rPr>
          <w:rStyle w:val="CommentTok"/>
        </w:rPr>
        <w:t xml:space="preserve"># Obtain MDE API token via Managed Identity or service principal</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$mdeTenantUrl</w:t>
      </w:r>
      <w:r>
        <w:rPr>
          <w:rStyle w:val="NormalTok"/>
        </w:rPr>
        <w:t xml:space="preserve"> </w:t>
      </w:r>
      <w:r>
        <w:rPr>
          <w:rStyle w:val="OperatorTok"/>
        </w:rPr>
        <w:t xml:space="preserve">=</w:t>
      </w:r>
      <w:r>
        <w:rPr>
          <w:rStyle w:val="NormalTok"/>
        </w:rPr>
        <w:t xml:space="preserve"> </w:t>
      </w:r>
      <w:r>
        <w:rPr>
          <w:rStyle w:val="StringTok"/>
        </w:rPr>
        <w:t xml:space="preserve">"https://api.securitycenter.microsoft.com"</w:t>
      </w:r>
      <w:r>
        <w:br/>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br/>
      </w:r>
      <w:r>
        <w:rPr>
          <w:rStyle w:val="CommentTok"/>
        </w:rPr>
        <w:t xml:space="preserve"># Pull all machines registered in MDE</w:t>
      </w:r>
      <w:r>
        <w:br/>
      </w:r>
      <w:r>
        <w:rPr>
          <w:rStyle w:val="VariableTok"/>
        </w:rPr>
        <w:t xml:space="preserve">$mdeMachines</w:t>
      </w:r>
      <w:r>
        <w:rPr>
          <w:rStyle w:val="NormalTok"/>
        </w:rPr>
        <w:t xml:space="preserve"> </w:t>
      </w:r>
      <w:r>
        <w:rPr>
          <w:rStyle w:val="OperatorTok"/>
        </w:rPr>
        <w:t xml:space="preserve">=</w:t>
      </w:r>
      <w:r>
        <w:rPr>
          <w:rStyle w:val="NormalTok"/>
        </w:rPr>
        <w:t xml:space="preserve"> @</w:t>
      </w:r>
      <w:r>
        <w:br/>
      </w:r>
      <w:r>
        <w:rPr>
          <w:rStyle w:val="VariableTok"/>
        </w:rPr>
        <w:t xml:space="preserve">$mdeUri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$mdeTenantUrl</w:t>
      </w:r>
      <w:r>
        <w:rPr>
          <w:rStyle w:val="StringTok"/>
        </w:rPr>
        <w:t xml:space="preserve">/api/machines?</w:t>
      </w:r>
      <w:r>
        <w:rPr>
          <w:rStyle w:val="CharTok"/>
        </w:rPr>
        <w:t xml:space="preserve">`$</w:t>
      </w:r>
      <w:r>
        <w:rPr>
          <w:rStyle w:val="StringTok"/>
        </w:rPr>
        <w:t xml:space="preserve">select=id,computerDnsName,osPlatform,healthStatus,onboardingStatus"</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$mdeUri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$mdeMachines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$mdeUri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$mdeUri</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$mdeMachines</w:t>
      </w:r>
      <w:r>
        <w:rPr>
          <w:rStyle w:val="OperatorTok"/>
        </w:rPr>
        <w:t xml:space="preserve">.</w:t>
      </w:r>
      <w:r>
        <w:rPr>
          <w:rStyle w:val="FunctionTok"/>
        </w:rPr>
        <w:t xml:space="preserve">Count</w:t>
      </w:r>
      <w:r>
        <w:rPr>
          <w:rStyle w:val="OperatorTok"/>
        </w:rPr>
        <w:t xml:space="preserve">)</w:t>
      </w:r>
      <w:r>
        <w:rPr>
          <w:rStyle w:val="StringTok"/>
        </w:rPr>
        <w:t xml:space="preserve"> machines in MDE"</w:t>
      </w:r>
      <w:r>
        <w:br/>
      </w:r>
      <w:r>
        <w:br/>
      </w:r>
      <w:r>
        <w:rPr>
          <w:rStyle w:val="CommentTok"/>
        </w:rPr>
        <w:t xml:space="preserve"># Build lookup by DNS name (normalized to lowercase)</w:t>
      </w:r>
      <w:r>
        <w:br/>
      </w:r>
      <w:r>
        <w:rPr>
          <w:rStyle w:val="VariableTok"/>
        </w:rPr>
        <w:t xml:space="preserve">$mdeLookup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$mdeMachines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computerDnsName</w:t>
      </w:r>
      <w:r>
        <w:rPr>
          <w:rStyle w:val="OperatorTok"/>
        </w:rPr>
        <w:t xml:space="preserve">.</w:t>
      </w:r>
      <w:r>
        <w:rPr>
          <w:rStyle w:val="FunctionTok"/>
        </w:rPr>
        <w:t xml:space="preserve">ToLower</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VariableTok"/>
        </w:rPr>
        <w:t xml:space="preserve">$mdeLookup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br/>
      </w:r>
      <w:r>
        <w:rPr>
          <w:rStyle w:val="OperatorTok"/>
        </w:rPr>
        <w:t xml:space="preserve">}</w:t>
      </w:r>
      <w:r>
        <w:br/>
      </w:r>
      <w:r>
        <w:br/>
      </w:r>
      <w:r>
        <w:rPr>
          <w:rStyle w:val="CommentTok"/>
        </w:rPr>
        <w:t xml:space="preserve"># Cross-reference Arc machines against MDE</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$arc</w:t>
      </w:r>
      <w:r>
        <w:rPr>
          <w:rStyle w:val="NormalTok"/>
        </w:rPr>
        <w:t xml:space="preserve"> </w:t>
      </w:r>
      <w:r>
        <w:rPr>
          <w:rStyle w:val="KeywordTok"/>
        </w:rPr>
        <w:t xml:space="preserve">in</w:t>
      </w:r>
      <w:r>
        <w:rPr>
          <w:rStyle w:val="NormalTok"/>
        </w:rPr>
        <w:t xml:space="preserve"> </w:t>
      </w:r>
      <w:r>
        <w:rPr>
          <w:rStyle w:val="VariableTok"/>
        </w:rPr>
        <w:t xml:space="preserve">$arcMachines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$shortName</w:t>
      </w:r>
      <w:r>
        <w:rPr>
          <w:rStyle w:val="NormalTok"/>
        </w:rPr>
        <w:t xml:space="preserv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rPr>
          <w:rStyle w:val="OperatorTok"/>
        </w:rPr>
        <w:t xml:space="preserve">.</w:t>
      </w:r>
      <w:r>
        <w:rPr>
          <w:rStyle w:val="FunctionTok"/>
        </w:rPr>
        <w:t xml:space="preserve">ToLower</w:t>
      </w:r>
      <w:r>
        <w:br/>
      </w:r>
      <w:r>
        <w:rPr>
          <w:rStyle w:val="NormalTok"/>
        </w:rPr>
        <w:t xml:space="preserve">    </w:t>
      </w:r>
      <w:r>
        <w:rPr>
          <w:rStyle w:val="VariableTok"/>
        </w:rPr>
        <w:t xml:space="preserve">$mdeRecord</w:t>
      </w:r>
      <w:r>
        <w:rPr>
          <w:rStyle w:val="NormalTok"/>
        </w:rPr>
        <w:t xml:space="preserve"> </w:t>
      </w:r>
      <w:r>
        <w:rPr>
          <w:rStyle w:val="OperatorTok"/>
        </w:rPr>
        <w:t xml:space="preserve">=</w:t>
      </w:r>
      <w:r>
        <w:rPr>
          <w:rStyle w:val="NormalTok"/>
        </w:rPr>
        <w:t xml:space="preserve"> </w:t>
      </w:r>
      <w:r>
        <w:rPr>
          <w:rStyle w:val="VariableTok"/>
        </w:rPr>
        <w:t xml:space="preserve">$mdeLookup</w:t>
      </w:r>
      <w:r>
        <w:rPr>
          <w:rStyle w:val="OperatorTok"/>
        </w:rPr>
        <w:t xml:space="preserve">[</w:t>
      </w:r>
      <w:r>
        <w:rPr>
          <w:rStyle w:val="VariableTok"/>
        </w:rPr>
        <w:t xml:space="preserve">$shortName</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br/>
      </w:r>
      <w:r>
        <w:rPr>
          <w:rStyle w:val="NormalTok"/>
        </w:rPr>
        <w:t xml:space="preserve">        ArcStatus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Status</w:t>
      </w:r>
      <w:r>
        <w:br/>
      </w:r>
      <w:r>
        <w:rPr>
          <w:rStyle w:val="NormalTok"/>
        </w:rPr>
        <w:t xml:space="preserve">        OS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OSName</w:t>
      </w:r>
      <w:r>
        <w:br/>
      </w:r>
      <w:r>
        <w:rPr>
          <w:rStyle w:val="NormalTok"/>
        </w:rPr>
        <w:t xml:space="preserve">        ArcAgentVersion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AgentVersion</w:t>
      </w:r>
      <w:r>
        <w:br/>
      </w:r>
      <w:r>
        <w:rPr>
          <w:rStyle w:val="NormalTok"/>
        </w:rPr>
        <w:t xml:space="preserve">        MDEOnboarded      </w:t>
      </w:r>
      <w:r>
        <w:rPr>
          <w:rStyle w:val="OperatorTok"/>
        </w:rPr>
        <w:t xml:space="preserve">=</w:t>
      </w:r>
      <w:r>
        <w:rPr>
          <w:rStyle w:val="NormalTok"/>
        </w:rPr>
        <w:t xml:space="preserve"> </w:t>
      </w:r>
      <w:r>
        <w:rPr>
          <w:rStyle w:val="OperatorTok"/>
        </w:rPr>
        <w:t xml:space="preserve">(</w:t>
      </w:r>
      <w:r>
        <w:rPr>
          <w:rStyle w:val="VariableTok"/>
        </w:rPr>
        <w:t xml:space="preserve">$null</w:t>
      </w:r>
      <w:r>
        <w:rPr>
          <w:rStyle w:val="NormalTok"/>
        </w:rPr>
        <w:t xml:space="preserve"> </w:t>
      </w:r>
      <w:r>
        <w:rPr>
          <w:rStyle w:val="OperatorTok"/>
        </w:rPr>
        <w:t xml:space="preserve">-ne</w:t>
      </w:r>
      <w:r>
        <w:rPr>
          <w:rStyle w:val="NormalTok"/>
        </w:rPr>
        <w:t xml:space="preserve"> </w:t>
      </w:r>
      <w:r>
        <w:rPr>
          <w:rStyle w:val="VariableTok"/>
        </w:rPr>
        <w:t xml:space="preserve">$mdeRecord</w:t>
      </w:r>
      <w:r>
        <w:rPr>
          <w:rStyle w:val="OperatorTok"/>
        </w:rPr>
        <w:t xml:space="preserve">)</w:t>
      </w:r>
      <w:r>
        <w:br/>
      </w:r>
      <w:r>
        <w:rPr>
          <w:rStyle w:val="NormalTok"/>
        </w:rPr>
        <w:t xml:space="preserve">        MDEHealthStatus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healthStatus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'NOT_FOUND'</w:t>
      </w:r>
      <w:r>
        <w:rPr>
          <w:rStyle w:val="NormalTok"/>
        </w:rPr>
        <w:t xml:space="preserve"> </w:t>
      </w:r>
      <w:r>
        <w:rPr>
          <w:rStyle w:val="OperatorTok"/>
        </w:rPr>
        <w:t xml:space="preserve">}</w:t>
      </w:r>
      <w:r>
        <w:br/>
      </w:r>
      <w:r>
        <w:rPr>
          <w:rStyle w:val="NormalTok"/>
        </w:rPr>
        <w:t xml:space="preserve">        MDEOnboardStatus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onboardingStatus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'NOT_ONBOARDED'</w:t>
      </w:r>
      <w:r>
        <w:rPr>
          <w:rStyle w:val="NormalTok"/>
        </w:rPr>
        <w:t xml:space="preserve"> </w:t>
      </w:r>
      <w:r>
        <w:rPr>
          <w:rStyle w:val="OperatorTok"/>
        </w:rPr>
        <w:t xml:space="preserve">}</w:t>
      </w:r>
      <w:r>
        <w:br/>
      </w:r>
      <w:r>
        <w:rPr>
          <w:rStyle w:val="NormalTok"/>
        </w:rPr>
        <w:t xml:space="preserve">        LastArcStatusChange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LastStatusChange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summary</w:t>
      </w:r>
      <w:r>
        <w:br/>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MDEOnboarded</w:t>
      </w:r>
      <w:r>
        <w:rPr>
          <w:rStyle w:val="NormalTok"/>
        </w:rPr>
        <w:t xml:space="preserve"> </w:t>
      </w:r>
      <w:r>
        <w:rPr>
          <w:rStyle w:val="OperatorTok"/>
        </w:rPr>
        <w:t xml:space="preserve">}</w:t>
      </w:r>
      <w:r>
        <w:br/>
      </w:r>
      <w:r>
        <w:rPr>
          <w:rStyle w:val="VariableTok"/>
        </w:rPr>
        <w:t xml:space="preserve">$unhealthy</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MDEHealthStatus</w:t>
      </w:r>
      <w:r>
        <w:rPr>
          <w:rStyle w:val="NormalTok"/>
        </w:rPr>
        <w:t xml:space="preserve"> </w:t>
      </w:r>
      <w:r>
        <w:rPr>
          <w:rStyle w:val="OperatorTok"/>
        </w:rPr>
        <w:t xml:space="preserve">-eq</w:t>
      </w:r>
      <w:r>
        <w:rPr>
          <w:rStyle w:val="NormalTok"/>
        </w:rPr>
        <w:t xml:space="preserve"> </w:t>
      </w:r>
      <w:r>
        <w:rPr>
          <w:rStyle w:val="StringTok"/>
        </w:rPr>
        <w:t xml:space="preserve">'Inactive'</w:t>
      </w:r>
      <w:r>
        <w:rPr>
          <w:rStyle w:val="NormalTok"/>
        </w:rPr>
        <w:t xml:space="preserve"> </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MDE Onboarding Summary ==="</w:t>
      </w:r>
      <w:r>
        <w:br/>
      </w:r>
      <w:r>
        <w:rPr>
          <w:rStyle w:val="FunctionTok"/>
        </w:rPr>
        <w:t xml:space="preserve">Write-Host</w:t>
      </w:r>
      <w:r>
        <w:rPr>
          <w:rStyle w:val="NormalTok"/>
        </w:rPr>
        <w:t xml:space="preserve"> </w:t>
      </w:r>
      <w:r>
        <w:rPr>
          <w:rStyle w:val="StringTok"/>
        </w:rPr>
        <w:t xml:space="preserve">"Total Arc machines:  </w:t>
      </w:r>
      <w:r>
        <w:rPr>
          <w:rStyle w:val="OperatorTok"/>
        </w:rPr>
        <w:t xml:space="preserve">$(</w:t>
      </w:r>
      <w:r>
        <w:rPr>
          <w:rStyle w:val="VariableTok"/>
        </w:rPr>
        <w:t xml:space="preserve">$results</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onboarded: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MDEOnboarded</w:t>
      </w:r>
      <w:r>
        <w:rPr>
          <w:rStyle w:val="OperatorTok"/>
        </w:rPr>
        <w:t xml:space="preserve">)</w:t>
      </w:r>
      <w:r>
        <w:rPr>
          <w:rStyle w:val="StringTok"/>
        </w:rPr>
        <w:t xml:space="preserve">.Count)"</w:t>
      </w:r>
      <w:r>
        <w:br/>
      </w:r>
      <w:r>
        <w:rPr>
          <w:rStyle w:val="FunctionTok"/>
        </w:rPr>
        <w:t xml:space="preserve">Write-Host</w:t>
      </w:r>
      <w:r>
        <w:rPr>
          <w:rStyle w:val="NormalTok"/>
        </w:rPr>
        <w:t xml:space="preserve"> </w:t>
      </w:r>
      <w:r>
        <w:rPr>
          <w:rStyle w:val="StringTok"/>
        </w:rPr>
        <w:t xml:space="preserve">"Not in MDE: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inactive:        </w:t>
      </w:r>
      <w:r>
        <w:rPr>
          <w:rStyle w:val="OperatorTok"/>
        </w:rPr>
        <w:t xml:space="preserve">$(</w:t>
      </w:r>
      <w:r>
        <w:rPr>
          <w:rStyle w:val="VariableTok"/>
        </w:rPr>
        <w:t xml:space="preserve">$unhealthy</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machines are Arc-enrolled but NOT in MDE:"</w:t>
      </w:r>
      <w:r>
        <w:br/>
      </w:r>
      <w:r>
        <w:rPr>
          <w:rStyle w:val="NormalTok"/>
        </w:rPr>
        <w:t xml:space="preserve">    </w:t>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  -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OperatorTok"/>
        </w:rPr>
        <w:t xml:space="preserve">}</w:t>
      </w:r>
      <w:r>
        <w:br/>
      </w:r>
      <w:r>
        <w:br/>
      </w:r>
      <w:r>
        <w:rPr>
          <w:rStyle w:val="CommentTok"/>
        </w:rPr>
        <w:t xml:space="preserve"># Export to CSV</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"Full results written to: </w:t>
      </w:r>
      <w:r>
        <w:rPr>
          <w:rStyle w:val="VariableTok"/>
        </w:rPr>
        <w:t xml:space="preserve">$OutputPath</w:t>
      </w:r>
      <w:r>
        <w:rPr>
          <w:rStyle w:val="StringTok"/>
        </w:rPr>
        <w:t xml:space="preserve">"</w:t>
      </w:r>
    </w:p>
    <w:p>
      <w:pPr>
        <w:pStyle w:val="FirstParagraph"/>
      </w:pPr>
      <w:r>
        <w:rPr>
          <w:b/>
          <w:bCs/>
        </w:rPr>
        <w:t xml:space="preserve">Onboarding Lag</w:t>
      </w:r>
      <w:r>
        <w:t xml:space="preserve"> </w:t>
      </w:r>
      <w:r>
        <w:t xml:space="preserve">— After Arc enrollment, MDE onboarding typically completes within 24–48 hours as the AMA channel establishes connectivity and the Defender sensor is provisioned. Run this verification script 48 hours after a batch enrollment to catch stragglers before declaring the enrollment complete.</w:t>
      </w:r>
    </w:p>
    <w:p>
      <w:r>
        <w:pict>
          <v:rect style="width:0;height:1.5pt" o:hralign="center" o:hrstd="t" o:hr="t"/>
        </w:pict>
      </w:r>
    </w:p>
    <w:bookmarkEnd w:id="57"/>
    <w:bookmarkEnd w:id="58"/>
    <w:bookmarkStart w:id="61" w:name="cisa-kev-integration-and-prioritization"/>
    <w:p>
      <w:pPr>
        <w:pStyle w:val="Heading1"/>
      </w:pPr>
      <w:r>
        <w:t xml:space="preserve">CISA KEV Integration and Prioritization</w:t>
      </w:r>
    </w:p>
    <w:bookmarkStart w:id="59" w:name="the-kev-catalog-json-feed"/>
    <w:p>
      <w:pPr>
        <w:pStyle w:val="Heading2"/>
      </w:pPr>
      <w:r>
        <w:t xml:space="preserve">The KEV Catalog JSON Feed</w:t>
      </w:r>
    </w:p>
    <w:p>
      <w:pPr>
        <w:pStyle w:val="FirstParagraph"/>
      </w:pPr>
      <w:r>
        <w:t xml:space="preserve">CISA publishes the KEV catalog as a machine-readable JSON feed updated on a rolling daily basis. The feed schema includes, for each entry:</w:t>
      </w:r>
      <w:r>
        <w:t xml:space="preserve"> </w:t>
      </w:r>
      <w:r>
        <w:rPr>
          <w:rStyle w:val="VerbatimChar"/>
        </w:rPr>
        <w:t xml:space="preserve">cveID</w:t>
      </w:r>
      <w:r>
        <w:t xml:space="preserve">,</w:t>
      </w:r>
      <w:r>
        <w:t xml:space="preserve"> </w:t>
      </w:r>
      <w:r>
        <w:rPr>
          <w:rStyle w:val="VerbatimChar"/>
        </w:rPr>
        <w:t xml:space="preserve">vendorProject</w:t>
      </w:r>
      <w:r>
        <w:t xml:space="preserve">,</w:t>
      </w:r>
      <w:r>
        <w:t xml:space="preserve"> </w:t>
      </w:r>
      <w:r>
        <w:rPr>
          <w:rStyle w:val="VerbatimChar"/>
        </w:rPr>
        <w:t xml:space="preserve">product</w:t>
      </w:r>
      <w:r>
        <w:t xml:space="preserve">,</w:t>
      </w:r>
      <w:r>
        <w:t xml:space="preserve"> </w:t>
      </w:r>
      <w:r>
        <w:rPr>
          <w:rStyle w:val="VerbatimChar"/>
        </w:rPr>
        <w:t xml:space="preserve">vulnerabilityName</w:t>
      </w:r>
      <w:r>
        <w:t xml:space="preserve">,</w:t>
      </w:r>
      <w:r>
        <w:t xml:space="preserve"> </w:t>
      </w:r>
      <w:r>
        <w:rPr>
          <w:rStyle w:val="VerbatimChar"/>
        </w:rPr>
        <w:t xml:space="preserve">dateAdded</w:t>
      </w:r>
      <w:r>
        <w:t xml:space="preserve">,</w:t>
      </w:r>
      <w:r>
        <w:t xml:space="preserve"> </w:t>
      </w:r>
      <w:r>
        <w:rPr>
          <w:rStyle w:val="VerbatimChar"/>
        </w:rPr>
        <w:t xml:space="preserve">shortDescription</w:t>
      </w:r>
      <w:r>
        <w:t xml:space="preserve">,</w:t>
      </w:r>
      <w:r>
        <w:t xml:space="preserve"> </w:t>
      </w:r>
      <w:r>
        <w:rPr>
          <w:rStyle w:val="VerbatimChar"/>
        </w:rPr>
        <w:t xml:space="preserve">requiredAction</w:t>
      </w:r>
      <w:r>
        <w:t xml:space="preserve">,</w:t>
      </w:r>
      <w:r>
        <w:t xml:space="preserve"> </w:t>
      </w:r>
      <w:r>
        <w:rPr>
          <w:rStyle w:val="VerbatimChar"/>
        </w:rPr>
        <w:t xml:space="preserve">dueDate</w:t>
      </w:r>
      <w:r>
        <w:t xml:space="preserve">, and</w:t>
      </w:r>
      <w:r>
        <w:t xml:space="preserve"> </w:t>
      </w:r>
      <w:r>
        <w:rPr>
          <w:rStyle w:val="VerbatimChar"/>
        </w:rPr>
        <w:t xml:space="preserve">notes</w:t>
      </w:r>
      <w:r>
        <w:t xml:space="preserve">. The</w:t>
      </w:r>
      <w:r>
        <w:t xml:space="preserve"> </w:t>
      </w:r>
      <w:r>
        <w:rPr>
          <w:rStyle w:val="VerbatimChar"/>
        </w:rPr>
        <w:t xml:space="preserve">dueDate</w:t>
      </w:r>
      <w:r>
        <w:t xml:space="preserve"> </w:t>
      </w:r>
      <w:r>
        <w:t xml:space="preserve">field represents the CISA-assigned remediation deadline, which may differ from the flat timelines BOD 22-01 used to set before its revocation for entries that carried specific due dates at time of catalog addition.</w:t>
      </w:r>
    </w:p>
    <w:p>
      <w:pPr>
        <w:pStyle w:val="BodyText"/>
      </w:pPr>
      <w:r>
        <w:t xml:space="preserve">The feed URL is stable and does not require authentication:</w:t>
      </w:r>
      <w:r>
        <w:t xml:space="preserve"> </w:t>
      </w:r>
      <w:r>
        <w:rPr>
          <w:rStyle w:val="VerbatimChar"/>
        </w:rPr>
        <w:t xml:space="preserve">https://www.cisa.gov/sites/default/files/feeds/known_exploited_vulnerabilities.json</w:t>
      </w:r>
    </w:p>
    <w:p>
      <w:pPr>
        <w:pStyle w:val="BodyText"/>
      </w:pPr>
      <w:r>
        <w:t xml:space="preserve">The catalog currently contains over 1,000 entries and grows by 5–20 entries per week. The daily automation pull should be scheduled to run before the morning patch queue review so that overnight additions are reflected in the day’s priority assignments.</w:t>
      </w:r>
    </w:p>
    <w:bookmarkEnd w:id="59"/>
    <w:bookmarkStart w:id="60" w:name="kev-pull-and-cve-cross-reference"/>
    <w:p>
      <w:pPr>
        <w:pStyle w:val="Heading2"/>
      </w:pPr>
      <w:r>
        <w:t xml:space="preserve">KEV Pull and CVE Cross-Reference</w:t>
      </w:r>
    </w:p>
    <w:p>
      <w:pPr>
        <w:pStyle w:val="FirstParagraph"/>
      </w:pPr>
      <w:r>
        <w:t xml:space="preserve">The following PowerShell script downloads the KEV catalog, extracts CVE IDs, queries the Defender VM API for current vulnerability findings on Arc-enrolled machines, and produces a prioritized patch queue with SLA assignments. This script is designed to run daily as a scheduled task or Azure Automation runbook.</w:t>
      </w:r>
    </w:p>
    <w:p>
      <w:pPr>
        <w:pStyle w:val="SourceCode"/>
      </w:pPr>
      <w:r>
        <w:rPr>
          <w:rStyle w:val="CommentTok"/>
        </w:rPr>
        <w:t xml:space="preserve"># CISA KEV + Defender VM daily patch priority queue</w:t>
      </w:r>
      <w:r>
        <w:br/>
      </w:r>
      <w:r>
        <w:rPr>
          <w:rStyle w:val="CommentTok"/>
        </w:rPr>
        <w:t xml:space="preserve"># Schedule: Daily 06:00 local time, before morning ops standup</w:t>
      </w:r>
      <w:r>
        <w:br/>
      </w:r>
      <w:r>
        <w:rPr>
          <w:rStyle w:val="CommentTok"/>
        </w:rPr>
        <w:t xml:space="preserve"># Output: JSON + CSV patch queue with SLA assignments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$KevFeedUrl</w:t>
      </w:r>
      <w:r>
        <w:rPr>
          <w:rStyle w:val="NormalTok"/>
        </w:rPr>
        <w:t xml:space="preserve">   </w:t>
      </w:r>
      <w:r>
        <w:rPr>
          <w:rStyle w:val="OperatorTok"/>
        </w:rPr>
        <w:t xml:space="preserve">=</w:t>
      </w:r>
      <w:r>
        <w:rPr>
          <w:rStyle w:val="NormalTok"/>
        </w:rPr>
        <w:t xml:space="preserve"> </w:t>
      </w:r>
      <w:r>
        <w:rPr>
          <w:rStyle w:val="StringTok"/>
        </w:rPr>
        <w:t xml:space="preserve">'https://www.cisa.gov/sites/default/files/feeds/known_exploited_vulnerabilities.json'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$OutputDir</w:t>
      </w:r>
      <w:r>
        <w:rPr>
          <w:rStyle w:val="NormalTok"/>
        </w:rPr>
        <w:t xml:space="preserve">    </w:t>
      </w:r>
      <w:r>
        <w:rPr>
          <w:rStyle w:val="OperatorTok"/>
        </w:rPr>
        <w:t xml:space="preserve">=</w:t>
      </w:r>
      <w:r>
        <w:rPr>
          <w:rStyle w:val="NormalTok"/>
        </w:rPr>
        <w:t xml:space="preserve"> </w:t>
      </w:r>
      <w:r>
        <w:rPr>
          <w:rStyle w:val="StringTok"/>
        </w:rPr>
        <w:t xml:space="preserve">'.\patch-queue'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$HistoryDir</w:t>
      </w:r>
      <w:r>
        <w:rPr>
          <w:rStyle w:val="NormalTok"/>
        </w:rPr>
        <w:t xml:space="preserve">   </w:t>
      </w:r>
      <w:r>
        <w:rPr>
          <w:rStyle w:val="OperatorTok"/>
        </w:rPr>
        <w:t xml:space="preserve">=</w:t>
      </w:r>
      <w:r>
        <w:rPr>
          <w:rStyle w:val="NormalTok"/>
        </w:rPr>
        <w:t xml:space="preserve"> </w:t>
      </w:r>
      <w:r>
        <w:rPr>
          <w:rStyle w:val="StringTok"/>
        </w:rPr>
        <w:t xml:space="preserve">'.\patch-queue\history'</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$ExportCsv</w:t>
      </w:r>
      <w:r>
        <w:br/>
      </w:r>
      <w:r>
        <w:rPr>
          <w:rStyle w:val="OperatorTok"/>
        </w:rPr>
        <w:t xml:space="preserve">)</w:t>
      </w:r>
      <w:r>
        <w:br/>
      </w:r>
      <w:r>
        <w:br/>
      </w:r>
      <w:r>
        <w:rPr>
          <w:rStyle w:val="VariableTok"/>
        </w:rPr>
        <w:t xml:space="preserve">$today</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Ensure output directories exist</w:t>
      </w:r>
      <w:r>
        <w:br/>
      </w:r>
      <w:r>
        <w:rPr>
          <w:rStyle w:val="OperatorTok"/>
        </w:rPr>
        <w:t xml:space="preserve">@(</w:t>
      </w:r>
      <w:r>
        <w:rPr>
          <w:rStyle w:val="VariableTok"/>
        </w:rPr>
        <w:t xml:space="preserve">$OutputDir</w:t>
      </w:r>
      <w:r>
        <w:rPr>
          <w:rStyle w:val="OperatorTok"/>
        </w:rPr>
        <w:t xml:space="preserve">,</w:t>
      </w:r>
      <w:r>
        <w:rPr>
          <w:rStyle w:val="NormalTok"/>
        </w:rPr>
        <w:t xml:space="preserve"> </w:t>
      </w:r>
      <w:r>
        <w:rPr>
          <w:rStyle w:val="VariableTok"/>
        </w:rPr>
        <w:t xml:space="preserve">$HistoryDir</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$_</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$_</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Downloading CISA KEV catalog..."</w:t>
      </w:r>
      <w:r>
        <w:br/>
      </w:r>
      <w:r>
        <w:br/>
      </w:r>
      <w:r>
        <w:rPr>
          <w:rStyle w:val="CommentTok"/>
        </w:rPr>
        <w:t xml:space="preserve"># Download KEV catalog with retry</w:t>
      </w:r>
      <w:r>
        <w:br/>
      </w:r>
      <w:r>
        <w:rPr>
          <w:rStyle w:val="VariableTok"/>
        </w:rPr>
        <w:t xml:space="preserve">$kevData</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VariableTok"/>
        </w:rPr>
        <w:t xml:space="preserve">$retryCount</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DataTypeTok"/>
        </w:rPr>
        <w:t xml:space="preserve">do</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$kevData</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$KevFeedUrl</w:t>
      </w:r>
      <w:r>
        <w:rPr>
          <w:rStyle w:val="NormalTok"/>
        </w:rPr>
        <w:t xml:space="preserve"> </w:t>
      </w:r>
      <w:r>
        <w:rPr>
          <w:rStyle w:val="OperatorTok"/>
        </w:rPr>
        <w:t xml:space="preserve">-</w:t>
      </w:r>
      <w:r>
        <w:rPr>
          <w:rStyle w:val="NormalTok"/>
        </w:rPr>
        <w:t xml:space="preserve">TimeoutSec </w:t>
      </w:r>
      <w:r>
        <w:rPr>
          <w:rStyle w:val="DecValTok"/>
        </w:rPr>
        <w:t xml:space="preserve">30</w:t>
      </w:r>
      <w:r>
        <w:br/>
      </w:r>
      <w:r>
        <w:rPr>
          <w:rStyle w:val="NormalTok"/>
        </w:rPr>
        <w:t xml:space="preserve">        </w:t>
      </w:r>
      <w:r>
        <w:rPr>
          <w:rStyle w:val="ControlFlowTok"/>
        </w:rPr>
        <w:t xml:space="preserve">break</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VariableTok"/>
        </w:rPr>
        <w:t xml:space="preserve">$retryCount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-ge</w:t>
      </w:r>
      <w:r>
        <w:rPr>
          <w:rStyle w:val="NormalTok"/>
        </w:rPr>
        <w:t xml:space="preserve"> </w:t>
      </w:r>
      <w:r>
        <w:rPr>
          <w:rStyle w:val="DecValTok"/>
        </w:rPr>
        <w:t xml:space="preserve">3</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throw</w:t>
      </w:r>
      <w:r>
        <w:rPr>
          <w:rStyle w:val="NormalTok"/>
        </w:rPr>
        <w:t xml:space="preserve"> </w:t>
      </w:r>
      <w:r>
        <w:rPr>
          <w:rStyle w:val="StringTok"/>
        </w:rPr>
        <w:t xml:space="preserve">"Failed to download KEV catalog after 3 attempts: </w:t>
      </w:r>
      <w:r>
        <w:rPr>
          <w:rStyle w:val="VariableTok"/>
        </w:rPr>
        <w:t xml:space="preserve">$_</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Start-Sleep</w:t>
      </w:r>
      <w:r>
        <w:rPr>
          <w:rStyle w:val="NormalTok"/>
        </w:rPr>
        <w:t xml:space="preserve"> </w:t>
      </w:r>
      <w:r>
        <w:rPr>
          <w:rStyle w:val="OperatorTok"/>
        </w:rPr>
        <w:t xml:space="preserve">-</w:t>
      </w:r>
      <w:r>
        <w:rPr>
          <w:rStyle w:val="NormalTok"/>
        </w:rPr>
        <w:t xml:space="preserve">Seconds </w:t>
      </w:r>
      <w:r>
        <w:rPr>
          <w:rStyle w:val="DecValTok"/>
        </w:rPr>
        <w:t xml:space="preserve">10</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-lt</w:t>
      </w:r>
      <w:r>
        <w:rPr>
          <w:rStyle w:val="NormalTok"/>
        </w:rPr>
        <w:t xml:space="preserve"> </w:t>
      </w:r>
      <w:r>
        <w:rPr>
          <w:rStyle w:val="DecValTok"/>
        </w:rPr>
        <w:t xml:space="preserve">3</w:t>
      </w:r>
      <w:r>
        <w:rPr>
          <w:rStyle w:val="OperatorTok"/>
        </w:rPr>
        <w:t xml:space="preserve">)</w:t>
      </w:r>
      <w:r>
        <w:br/>
      </w:r>
      <w:r>
        <w:br/>
      </w:r>
      <w:r>
        <w:rPr>
          <w:rStyle w:val="CommentTok"/>
        </w:rPr>
        <w:t xml:space="preserve"># Build KEV lookup: CVE ID -&gt; catalog entry</w:t>
      </w:r>
      <w:r>
        <w:br/>
      </w:r>
      <w:r>
        <w:rPr>
          <w:rStyle w:val="VariableTok"/>
        </w:rPr>
        <w:t xml:space="preserve">$kevCatalog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$entry</w:t>
      </w:r>
      <w:r>
        <w:rPr>
          <w:rStyle w:val="NormalTok"/>
        </w:rPr>
        <w:t xml:space="preserve"> </w:t>
      </w:r>
      <w:r>
        <w:rPr>
          <w:rStyle w:val="KeywordTok"/>
        </w:rPr>
        <w:t xml:space="preserve">in</w:t>
      </w:r>
      <w:r>
        <w:rPr>
          <w:rStyle w:val="NormalTok"/>
        </w:rPr>
        <w:t xml:space="preserve"> </w:t>
      </w:r>
      <w:r>
        <w:rPr>
          <w:rStyle w:val="VariableTok"/>
        </w:rPr>
        <w:t xml:space="preserve">$kevData</w:t>
      </w:r>
      <w:r>
        <w:rPr>
          <w:rStyle w:val="OperatorTok"/>
        </w:rPr>
        <w:t xml:space="preserve">.</w:t>
      </w:r>
      <w:r>
        <w:rPr>
          <w:rStyle w:val="FunctionTok"/>
        </w:rPr>
        <w:t xml:space="preserve">vulnerabilities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$kevCatalog</w:t>
      </w:r>
      <w:r>
        <w:rPr>
          <w:rStyle w:val="OperatorTok"/>
        </w:rPr>
        <w:t xml:space="preserve">[</w:t>
      </w:r>
      <w:r>
        <w:rPr>
          <w:rStyle w:val="VariableTok"/>
        </w:rPr>
        <w:t xml:space="preserve">$entry</w:t>
      </w:r>
      <w:r>
        <w:rPr>
          <w:rStyle w:val="OperatorTok"/>
        </w:rPr>
        <w:t xml:space="preserve">.</w:t>
      </w:r>
      <w:r>
        <w:rPr>
          <w:rStyle w:val="FunctionTok"/>
        </w:rPr>
        <w:t xml:space="preserve">cveID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DateAdded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dateAdded</w:t>
      </w:r>
      <w:r>
        <w:br/>
      </w:r>
      <w:r>
        <w:rPr>
          <w:rStyle w:val="NormalTok"/>
        </w:rPr>
        <w:t xml:space="preserve">        DueDate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VendorProduct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$entry</w:t>
      </w:r>
      <w:r>
        <w:rPr>
          <w:rStyle w:val="OperatorTok"/>
        </w:rPr>
        <w:t xml:space="preserve">.</w:t>
      </w:r>
      <w:r>
        <w:rPr>
          <w:rStyle w:val="FunctionTok"/>
        </w:rPr>
        <w:t xml:space="preserve">vendorProject</w:t>
      </w:r>
      <w:r>
        <w:rPr>
          <w:rStyle w:val="OperatorTok"/>
        </w:rPr>
        <w:t xml:space="preserve">)</w:t>
      </w:r>
      <w:r>
        <w:rPr>
          <w:rStyle w:val="String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product</w:t>
      </w:r>
      <w:r>
        <w:rPr>
          <w:rStyle w:val="OperatorTok"/>
        </w:rPr>
        <w:t xml:space="preserve">)</w:t>
      </w:r>
      <w:r>
        <w:rPr>
          <w:rStyle w:val="StringTok"/>
        </w:rPr>
        <w:t xml:space="preserve">"</w:t>
      </w:r>
      <w:r>
        <w:br/>
      </w:r>
      <w:r>
        <w:rPr>
          <w:rStyle w:val="NormalTok"/>
        </w:rPr>
        <w:t xml:space="preserve">        RequiredAction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requiredAction</w:t>
      </w:r>
      <w:r>
        <w:br/>
      </w:r>
      <w:r>
        <w:rPr>
          <w:rStyle w:val="NormalTok"/>
        </w:rPr>
        <w:t xml:space="preserve">        ShortDesc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shortDescription</w:t>
      </w:r>
      <w:r>
        <w:br/>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KEV catalog loaded: </w:t>
      </w:r>
      <w:r>
        <w:rPr>
          <w:rStyle w:val="OperatorTok"/>
        </w:rPr>
        <w:t xml:space="preserve">$(</w:t>
      </w:r>
      <w:r>
        <w:rPr>
          <w:rStyle w:val="VariableTok"/>
        </w:rPr>
        <w:t xml:space="preserve">$kevCatalog</w:t>
      </w:r>
      <w:r>
        <w:rPr>
          <w:rStyle w:val="OperatorTok"/>
        </w:rPr>
        <w:t xml:space="preserve">.</w:t>
      </w:r>
      <w:r>
        <w:rPr>
          <w:rStyle w:val="FunctionTok"/>
        </w:rPr>
        <w:t xml:space="preserve">Count</w:t>
      </w:r>
      <w:r>
        <w:rPr>
          <w:rStyle w:val="OperatorTok"/>
        </w:rPr>
        <w:t xml:space="preserve">)</w:t>
      </w:r>
      <w:r>
        <w:rPr>
          <w:rStyle w:val="StringTok"/>
        </w:rPr>
        <w:t xml:space="preserve"> entries"</w:t>
      </w:r>
      <w:r>
        <w:br/>
      </w:r>
      <w:r>
        <w:br/>
      </w:r>
      <w:r>
        <w:rPr>
          <w:rStyle w:val="CommentTok"/>
        </w:rPr>
        <w:t xml:space="preserve"># --- MDE Defender VM API query ---</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rPr>
          <w:rStyle w:val="VariableTok"/>
        </w:rPr>
        <w:t xml:space="preserve">$mdeBase</w:t>
      </w:r>
      <w:r>
        <w:rPr>
          <w:rStyle w:val="NormalTok"/>
        </w:rPr>
        <w:t xml:space="preserve">    </w:t>
      </w:r>
      <w:r>
        <w:rPr>
          <w:rStyle w:val="OperatorTok"/>
        </w:rPr>
        <w:t xml:space="preserve">=</w:t>
      </w:r>
      <w:r>
        <w:rPr>
          <w:rStyle w:val="NormalTok"/>
        </w:rPr>
        <w:t xml:space="preserve"> </w:t>
      </w:r>
      <w:r>
        <w:rPr>
          <w:rStyle w:val="StringTok"/>
        </w:rPr>
        <w:t xml:space="preserve">'https://api.securitycenter.microsoft.com/api'</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Querying Defender VM for active vulnerabilities..."</w:t>
      </w:r>
      <w:r>
        <w:br/>
      </w:r>
      <w:r>
        <w:br/>
      </w:r>
      <w:r>
        <w:rPr>
          <w:rStyle w:val="CommentTok"/>
        </w:rPr>
        <w:t xml:space="preserve"># Pull all active vulnerability findings (machine + CVE combinations)</w:t>
      </w:r>
      <w:r>
        <w:br/>
      </w:r>
      <w:r>
        <w:rPr>
          <w:rStyle w:val="VariableTok"/>
        </w:rPr>
        <w:t xml:space="preserve">$findings</w:t>
      </w:r>
      <w:r>
        <w:rPr>
          <w:rStyle w:val="NormalTok"/>
        </w:rPr>
        <w:t xml:space="preserve">   </w:t>
      </w:r>
      <w:r>
        <w:rPr>
          <w:rStyle w:val="OperatorTok"/>
        </w:rPr>
        <w:t xml:space="preserve">=</w:t>
      </w:r>
      <w:r>
        <w:rPr>
          <w:rStyle w:val="NormalTok"/>
        </w:rPr>
        <w:t xml:space="preserve"> @</w:t>
      </w:r>
      <w:r>
        <w:br/>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/vulnerabilities/machinesvulnerabilities?</w:t>
      </w:r>
      <w:r>
        <w:rPr>
          <w:rStyle w:val="CharTok"/>
        </w:rPr>
        <w:t xml:space="preserve">`$</w:t>
      </w:r>
      <w:r>
        <w:rPr>
          <w:rStyle w:val="StringTok"/>
        </w:rPr>
        <w:t xml:space="preserve">select=cveId,machineId,fixingKbId,severity,cvssV3,productName,softwareVersion,recommendedSecurityUpdate"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$findingUri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$findingUri</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Retrieved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StringTok"/>
        </w:rPr>
        <w:t xml:space="preserve"> CVE-machine findings"</w:t>
      </w:r>
      <w:r>
        <w:br/>
      </w:r>
      <w:r>
        <w:br/>
      </w:r>
      <w:r>
        <w:rPr>
          <w:rStyle w:val="CommentTok"/>
        </w:rPr>
        <w:t xml:space="preserve"># Pull machine details for exposure classification</w:t>
      </w:r>
      <w:r>
        <w:br/>
      </w:r>
      <w:r>
        <w:rPr>
          <w:rStyle w:val="VariableTok"/>
        </w:rPr>
        <w:t xml:space="preserve">$machines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/machines?</w:t>
      </w:r>
      <w:r>
        <w:rPr>
          <w:rStyle w:val="CharTok"/>
        </w:rPr>
        <w:t xml:space="preserve">`$</w:t>
      </w:r>
      <w:r>
        <w:rPr>
          <w:rStyle w:val="StringTok"/>
        </w:rPr>
        <w:t xml:space="preserve">select=id,computerDnsName,isInternetFacing,osPlatform,rbacGroupName"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$machineUri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$m</w:t>
      </w:r>
      <w:r>
        <w:rPr>
          <w:rStyle w:val="OperatorTok"/>
        </w:rPr>
        <w:t xml:space="preserve">.</w:t>
      </w:r>
      <w:r>
        <w:rPr>
          <w:rStyle w:val="FunctionTok"/>
        </w:rPr>
        <w:t xml:space="preserv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rPr>
          <w:rStyle w:val="NormalTok"/>
        </w:rPr>
        <w:t xml:space="preserve"> </w:t>
      </w:r>
      <w:r>
        <w:rPr>
          <w:rStyle w:val="OperatorTok"/>
        </w:rPr>
        <w:t xml:space="preserve">}</w:t>
      </w:r>
      <w:r>
        <w:br/>
      </w:r>
      <w:r>
        <w:rPr>
          <w:rStyle w:val="NormalTok"/>
        </w:rPr>
        <w:t xml:space="preserve">    </w:t>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$machineUri</w:t>
      </w:r>
      <w:r>
        <w:rPr>
          <w:rStyle w:val="OperatorTok"/>
        </w:rPr>
        <w:t xml:space="preserve">)</w:t>
      </w:r>
      <w:r>
        <w:br/>
      </w:r>
      <w:r>
        <w:br/>
      </w:r>
      <w:r>
        <w:rPr>
          <w:rStyle w:val="CommentTok"/>
        </w:rPr>
        <w:t xml:space="preserve"># Build prioritized patch queue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$finding</w:t>
      </w:r>
      <w:r>
        <w:rPr>
          <w:rStyle w:val="NormalTok"/>
        </w:rPr>
        <w:t xml:space="preserve"> </w:t>
      </w:r>
      <w:r>
        <w:rPr>
          <w:rStyle w:val="KeywordTok"/>
        </w:rPr>
        <w:t xml:space="preserve">in</w:t>
      </w:r>
      <w:r>
        <w:rPr>
          <w:rStyle w:val="NormalTok"/>
        </w:rPr>
        <w:t xml:space="preserve"> </w:t>
      </w:r>
      <w:r>
        <w:rPr>
          <w:rStyle w:val="VariableTok"/>
        </w:rPr>
        <w:t xml:space="preserve">$findings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$cve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cveId</w:t>
      </w:r>
      <w:r>
        <w:br/>
      </w:r>
      <w:r>
        <w:rPr>
          <w:rStyle w:val="NormalTok"/>
        </w:rPr>
        <w:t xml:space="preserve">    </w:t>
      </w:r>
      <w:r>
        <w:rPr>
          <w:rStyle w:val="VariableTok"/>
        </w:rPr>
        <w:t xml:space="preserve">$machineInfo</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$finding</w:t>
      </w:r>
      <w:r>
        <w:rPr>
          <w:rStyle w:val="OperatorTok"/>
        </w:rPr>
        <w:t xml:space="preserve">.</w:t>
      </w:r>
      <w:r>
        <w:rPr>
          <w:rStyle w:val="FunctionTok"/>
        </w:rPr>
        <w:t xml:space="preserve">machineId</w:t>
      </w:r>
      <w:r>
        <w:rPr>
          <w:rStyle w:val="OperatorTok"/>
        </w:rPr>
        <w:t xml:space="preserve">]</w:t>
      </w:r>
      <w:r>
        <w:br/>
      </w:r>
      <w:r>
        <w:rPr>
          <w:rStyle w:val="NormalTok"/>
        </w:rPr>
        <w:t xml:space="preserve">    </w:t>
      </w:r>
      <w:r>
        <w:rPr>
          <w:rStyle w:val="VariableTok"/>
        </w:rPr>
        <w:t xml:space="preserve">$isKev</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ContainsKey</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$isInternet</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NormalTok"/>
        </w:rPr>
        <w:t xml:space="preserve"> </w:t>
      </w:r>
      <w:r>
        <w:rPr>
          <w:rStyle w:val="OperatorTok"/>
        </w:rPr>
        <w:t xml:space="preserve">-and</w:t>
      </w:r>
      <w:r>
        <w:rPr>
          <w:rStyle w:val="NormalTok"/>
        </w:rPr>
        <w:t xml:space="preserve"> </w:t>
      </w:r>
      <w:r>
        <w:rPr>
          <w:rStyle w:val="VariableTok"/>
        </w:rPr>
        <w:t xml:space="preserve">$machineInfo</w:t>
      </w:r>
      <w:r>
        <w:rPr>
          <w:rStyle w:val="OperatorTok"/>
        </w:rPr>
        <w:t xml:space="preserve">.</w:t>
      </w:r>
      <w:r>
        <w:rPr>
          <w:rStyle w:val="FunctionTok"/>
        </w:rPr>
        <w:t xml:space="preserve">isInternetFacing</w:t>
      </w:r>
      <w:r>
        <w:br/>
      </w:r>
      <w:r>
        <w:br/>
      </w:r>
      <w:r>
        <w:rPr>
          <w:rStyle w:val="NormalTok"/>
        </w:rPr>
        <w:t xml:space="preserve">    </w:t>
      </w:r>
      <w:r>
        <w:rPr>
          <w:rStyle w:val="CommentTok"/>
        </w:rPr>
        <w:t xml:space="preserve"># Assign priority and SLA</w:t>
      </w:r>
      <w:r>
        <w:br/>
      </w:r>
      <w:r>
        <w:rPr>
          <w:rStyle w:val="NormalTok"/>
        </w:rPr>
        <w:t xml:space="preserve">    </w:t>
      </w:r>
      <w:r>
        <w:rPr>
          <w:rStyle w:val="VariableTok"/>
        </w:rPr>
        <w:t xml:space="preserve">$priority</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'Critical'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'High'</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'P3-High'</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'Medium'</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'P4-Medium'</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'P5-Low'</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$slaDays</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$priority</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'P0-KEV-Internet'</w:t>
      </w:r>
      <w:r>
        <w:rPr>
          <w:rStyle w:val="NormalTok"/>
        </w:rPr>
        <w:t xml:space="preserve"> </w:t>
      </w:r>
      <w:r>
        <w:rPr>
          <w:rStyle w:val="OperatorTok"/>
        </w:rPr>
        <w:t xml:space="preserve">{</w:t>
      </w:r>
      <w:r>
        <w:rPr>
          <w:rStyle w:val="NormalTok"/>
        </w:rPr>
        <w:t xml:space="preserve"> </w:t>
      </w:r>
      <w:r>
        <w:rPr>
          <w:rStyle w:val="DecValTok"/>
        </w:rPr>
        <w:t xml:space="preserve">14</w:t>
      </w:r>
      <w:r>
        <w:rPr>
          <w:rStyle w:val="NormalTok"/>
        </w:rPr>
        <w:t xml:space="preserve"> </w:t>
      </w:r>
      <w:r>
        <w:rPr>
          <w:rStyle w:val="OperatorTok"/>
        </w:rPr>
        <w:t xml:space="preserve">}</w:t>
      </w:r>
      <w:r>
        <w:br/>
      </w:r>
      <w:r>
        <w:rPr>
          <w:rStyle w:val="NormalTok"/>
        </w:rPr>
        <w:t xml:space="preserve">        </w:t>
      </w:r>
      <w:r>
        <w:rPr>
          <w:rStyle w:val="StringTok"/>
        </w:rPr>
        <w:t xml:space="preserve">'P1-KEV-Internal'</w:t>
      </w:r>
      <w:r>
        <w:rPr>
          <w:rStyle w:val="NormalTok"/>
        </w:rPr>
        <w:t xml:space="preserve"> </w:t>
      </w:r>
      <w:r>
        <w:rPr>
          <w:rStyle w:val="OperatorTok"/>
        </w:rPr>
        <w:t xml:space="preserve">{</w:t>
      </w:r>
      <w:r>
        <w:rPr>
          <w:rStyle w:val="NormalTok"/>
        </w:rPr>
        <w:t xml:space="preserve"> </w:t>
      </w:r>
      <w:r>
        <w:rPr>
          <w:rStyle w:val="DecValTok"/>
        </w:rPr>
        <w:t xml:space="preserve">28</w:t>
      </w:r>
      <w:r>
        <w:rPr>
          <w:rStyle w:val="NormalTok"/>
        </w:rPr>
        <w:t xml:space="preserve"> </w:t>
      </w:r>
      <w:r>
        <w:rPr>
          <w:rStyle w:val="OperatorTok"/>
        </w:rPr>
        <w:t xml:space="preserve">}</w:t>
      </w:r>
      <w:r>
        <w:br/>
      </w:r>
      <w:r>
        <w:rPr>
          <w:rStyle w:val="NormalTok"/>
        </w:rPr>
        <w:t xml:space="preserve">        </w:t>
      </w:r>
      <w:r>
        <w:rPr>
          <w:rStyle w:val="StringTok"/>
        </w:rPr>
        <w:t xml:space="preserve">'P2-Critical'</w:t>
      </w:r>
      <w:r>
        <w:rPr>
          <w:rStyle w:val="NormalTok"/>
        </w:rPr>
        <w:t xml:space="preserve">     </w:t>
      </w:r>
      <w:r>
        <w:rPr>
          <w:rStyle w:val="OperatorTok"/>
        </w:rPr>
        <w:t xml:space="preserve">{</w:t>
      </w:r>
      <w:r>
        <w:rPr>
          <w:rStyle w:val="NormalTok"/>
        </w:rPr>
        <w:t xml:space="preserve"> </w:t>
      </w:r>
      <w:r>
        <w:rPr>
          <w:rStyle w:val="DecValTok"/>
        </w:rPr>
        <w:t xml:space="preserve">15</w:t>
      </w:r>
      <w:r>
        <w:rPr>
          <w:rStyle w:val="NormalTok"/>
        </w:rPr>
        <w:t xml:space="preserve"> </w:t>
      </w:r>
      <w:r>
        <w:rPr>
          <w:rStyle w:val="OperatorTok"/>
        </w:rPr>
        <w:t xml:space="preserve">}</w:t>
      </w:r>
      <w:r>
        <w:br/>
      </w:r>
      <w:r>
        <w:rPr>
          <w:rStyle w:val="NormalTok"/>
        </w:rPr>
        <w:t xml:space="preserve">        </w:t>
      </w:r>
      <w:r>
        <w:rPr>
          <w:rStyle w:val="StringTok"/>
        </w:rPr>
        <w:t xml:space="preserve">'P3-High'</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 </w:t>
      </w:r>
      <w:r>
        <w:rPr>
          <w:rStyle w:val="OperatorTok"/>
        </w:rPr>
        <w:t xml:space="preserve">}</w:t>
      </w:r>
      <w:r>
        <w:br/>
      </w:r>
      <w:r>
        <w:rPr>
          <w:rStyle w:val="NormalTok"/>
        </w:rPr>
        <w:t xml:space="preserve">        </w:t>
      </w:r>
      <w:r>
        <w:rPr>
          <w:rStyle w:val="StringTok"/>
        </w:rPr>
        <w:t xml:space="preserve">'P4-Medium'</w:t>
      </w:r>
      <w:r>
        <w:rPr>
          <w:rStyle w:val="NormalTok"/>
        </w:rPr>
        <w:t xml:space="preserve">       </w:t>
      </w:r>
      <w:r>
        <w:rPr>
          <w:rStyle w:val="OperatorTok"/>
        </w:rPr>
        <w:t xml:space="preserve">{</w:t>
      </w:r>
      <w:r>
        <w:rPr>
          <w:rStyle w:val="NormalTok"/>
        </w:rPr>
        <w:t xml:space="preserve"> </w:t>
      </w:r>
      <w:r>
        <w:rPr>
          <w:rStyle w:val="DecValTok"/>
        </w:rPr>
        <w:t xml:space="preserve">90</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DecValTok"/>
        </w:rPr>
        <w:t xml:space="preserve">180</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SLA due date: KEV findings use the CISA-assigned catalog dueDate (the deadline CISA</w:t>
      </w:r>
      <w:r>
        <w:br/>
      </w:r>
      <w:r>
        <w:rPr>
          <w:rStyle w:val="NormalTok"/>
        </w:rPr>
        <w:t xml:space="preserve">    </w:t>
      </w:r>
      <w:r>
        <w:rPr>
          <w:rStyle w:val="CommentTok"/>
        </w:rPr>
        <w:t xml:space="preserve"># actually assigned), falling back to dateAdded + window only when dueDate is absent.</w:t>
      </w:r>
      <w:r>
        <w:br/>
      </w:r>
      <w:r>
        <w:rPr>
          <w:rStyle w:val="NormalTok"/>
        </w:rPr>
        <w:t xml:space="preserve">    </w:t>
      </w:r>
      <w:r>
        <w:rPr>
          <w:rStyle w:val="CommentTok"/>
        </w:rPr>
        <w:t xml:space="preserve"># Non-KEV findings run from today.</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$kevEntry</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$kevEntry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DateAdded</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$daysLeft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Days</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Priority         </w:t>
      </w:r>
      <w:r>
        <w:rPr>
          <w:rStyle w:val="OperatorTok"/>
        </w:rPr>
        <w:t xml:space="preserve">=</w:t>
      </w:r>
      <w:r>
        <w:rPr>
          <w:rStyle w:val="NormalTok"/>
        </w:rPr>
        <w:t xml:space="preserve"> </w:t>
      </w:r>
      <w:r>
        <w:rPr>
          <w:rStyle w:val="VariableTok"/>
        </w:rPr>
        <w:t xml:space="preserve">$priority</w:t>
      </w:r>
      <w:r>
        <w:br/>
      </w:r>
      <w:r>
        <w:rPr>
          <w:rStyle w:val="NormalTok"/>
        </w:rPr>
        <w:t xml:space="preserve">        CVE              </w:t>
      </w:r>
      <w:r>
        <w:rPr>
          <w:rStyle w:val="OperatorTok"/>
        </w:rPr>
        <w:t xml:space="preserve">=</w:t>
      </w:r>
      <w:r>
        <w:rPr>
          <w:rStyle w:val="NormalTok"/>
        </w:rPr>
        <w:t xml:space="preserve"> </w:t>
      </w:r>
      <w:r>
        <w:rPr>
          <w:rStyle w:val="VariableTok"/>
        </w:rPr>
        <w:t xml:space="preserve">$cve</w:t>
      </w:r>
      <w:r>
        <w:br/>
      </w:r>
      <w:r>
        <w:rPr>
          <w:rStyle w:val="NormalTok"/>
        </w:rPr>
        <w:t xml:space="preserve">        MachineName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computerDnsName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machineId</w:t>
      </w:r>
      <w:r>
        <w:rPr>
          <w:rStyle w:val="NormalTok"/>
        </w:rPr>
        <w:t xml:space="preserve"> </w:t>
      </w:r>
      <w:r>
        <w:rPr>
          <w:rStyle w:val="OperatorTok"/>
        </w:rPr>
        <w:t xml:space="preserve">}</w:t>
      </w:r>
      <w:r>
        <w:br/>
      </w:r>
      <w:r>
        <w:rPr>
          <w:rStyle w:val="NormalTok"/>
        </w:rPr>
        <w:t xml:space="preserve">        MachineGroup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rbacGroupName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IsInternetFacing </w:t>
      </w:r>
      <w:r>
        <w:rPr>
          <w:rStyle w:val="OperatorTok"/>
        </w:rPr>
        <w:t xml:space="preserve">=</w:t>
      </w:r>
      <w:r>
        <w:rPr>
          <w:rStyle w:val="NormalTok"/>
        </w:rPr>
        <w:t xml:space="preserve"> </w:t>
      </w:r>
      <w:r>
        <w:rPr>
          <w:rStyle w:val="VariableTok"/>
        </w:rPr>
        <w:t xml:space="preserve">$isInternet</w:t>
      </w:r>
      <w:r>
        <w:br/>
      </w:r>
      <w:r>
        <w:rPr>
          <w:rStyle w:val="NormalTok"/>
        </w:rPr>
        <w:t xml:space="preserve">        InKEV            </w:t>
      </w:r>
      <w:r>
        <w:rPr>
          <w:rStyle w:val="OperatorTok"/>
        </w:rPr>
        <w:t xml:space="preserve">=</w:t>
      </w:r>
      <w:r>
        <w:rPr>
          <w:rStyle w:val="NormalTok"/>
        </w:rPr>
        <w:t xml:space="preserve"> </w:t>
      </w:r>
      <w:r>
        <w:rPr>
          <w:rStyle w:val="VariableTok"/>
        </w:rPr>
        <w:t xml:space="preserve">$isKev</w:t>
      </w:r>
      <w:r>
        <w:br/>
      </w:r>
      <w:r>
        <w:rPr>
          <w:rStyle w:val="NormalTok"/>
        </w:rPr>
        <w:t xml:space="preserve">        CvssV3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cvssV3</w:t>
      </w:r>
      <w:r>
        <w:br/>
      </w:r>
      <w:r>
        <w:rPr>
          <w:rStyle w:val="NormalTok"/>
        </w:rPr>
        <w:t xml:space="preserve">        Severity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severity</w:t>
      </w:r>
      <w:r>
        <w:br/>
      </w:r>
      <w:r>
        <w:rPr>
          <w:rStyle w:val="NormalTok"/>
        </w:rPr>
        <w:t xml:space="preserve">        Product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productName</w:t>
      </w:r>
      <w:r>
        <w:br/>
      </w:r>
      <w:r>
        <w:rPr>
          <w:rStyle w:val="NormalTok"/>
        </w:rPr>
        <w:t xml:space="preserve">        ProductVersion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softwareVersion</w:t>
      </w:r>
      <w:r>
        <w:br/>
      </w:r>
      <w:r>
        <w:rPr>
          <w:rStyle w:val="NormalTok"/>
        </w:rPr>
        <w:t xml:space="preserve">        FixKB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fixingKbId</w:t>
      </w:r>
      <w:r>
        <w:br/>
      </w:r>
      <w:r>
        <w:rPr>
          <w:rStyle w:val="NormalTok"/>
        </w:rPr>
        <w:t xml:space="preserve">        SLADueDateUTC    </w:t>
      </w:r>
      <w:r>
        <w:rPr>
          <w:rStyle w:val="OperatorTok"/>
        </w:rPr>
        <w:t xml:space="preserve">=</w:t>
      </w:r>
      <w:r>
        <w:rPr>
          <w:rStyle w:val="NormalTok"/>
        </w:rPr>
        <w:t xml:space="preserve"> </w:t>
      </w:r>
      <w:r>
        <w:rPr>
          <w:rStyle w:val="VariableTok"/>
        </w:rPr>
        <w:t xml:space="preserve">$slaDue</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rPr>
          <w:rStyle w:val="NormalTok"/>
        </w:rPr>
        <w:t xml:space="preserve">        DaysRemaining    </w:t>
      </w:r>
      <w:r>
        <w:rPr>
          <w:rStyle w:val="OperatorTok"/>
        </w:rPr>
        <w:t xml:space="preserve">=</w:t>
      </w:r>
      <w:r>
        <w:rPr>
          <w:rStyle w:val="NormalTok"/>
        </w:rPr>
        <w:t xml:space="preserve"> </w:t>
      </w:r>
      <w:r>
        <w:rPr>
          <w:rStyle w:val="VariableTok"/>
        </w:rPr>
        <w:t xml:space="preserve">$daysLeft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$daysLeft</w:t>
      </w:r>
      <w:r>
        <w:rPr>
          <w:rStyle w:val="NormalTok"/>
        </w:rPr>
        <w:t xml:space="preserve"> </w:t>
      </w:r>
      <w:r>
        <w:rPr>
          <w:rStyle w:val="OperatorTok"/>
        </w:rPr>
        <w:t xml:space="preserve">-lt</w:t>
      </w:r>
      <w:r>
        <w:rPr>
          <w:rStyle w:val="NormalTok"/>
        </w:rPr>
        <w:t xml:space="preserve"> </w:t>
      </w:r>
      <w:r>
        <w:rPr>
          <w:rStyle w:val="DecValTok"/>
        </w:rPr>
        <w:t xml:space="preserve">0</w:t>
      </w:r>
      <w:r>
        <w:rPr>
          <w:rStyle w:val="OperatorTok"/>
        </w:rPr>
        <w:t xml:space="preserve">)</w:t>
      </w:r>
      <w:r>
        <w:br/>
      </w:r>
      <w:r>
        <w:rPr>
          <w:rStyle w:val="NormalTok"/>
        </w:rPr>
        <w:t xml:space="preserve">        KEVDateAdded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DateAdded</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RequiredAction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RequiredAction</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Sort by priority then days remaining (most urgent first)</w:t>
      </w:r>
      <w:r>
        <w:br/>
      </w:r>
      <w:r>
        <w:rPr>
          <w:rStyle w:val="VariableTok"/>
        </w:rPr>
        <w:t xml:space="preserve">$priorityOrder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DecValTok"/>
        </w:rPr>
        <w:t xml:space="preserve">0</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DecValTok"/>
        </w:rPr>
        <w:t xml:space="preserve">1</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DecValTok"/>
        </w:rPr>
        <w:t xml:space="preserve">2</w:t>
      </w:r>
      <w:r>
        <w:rPr>
          <w:rStyle w:val="OperatorTok"/>
        </w:rPr>
        <w:t xml:space="preserve">;</w:t>
      </w:r>
      <w:r>
        <w:br/>
      </w:r>
      <w:r>
        <w:rPr>
          <w:rStyle w:val="NormalTok"/>
        </w:rPr>
        <w:t xml:space="preserve">                    </w:t>
      </w:r>
      <w:r>
        <w:rPr>
          <w:rStyle w:val="StringTok"/>
        </w:rPr>
        <w:t xml:space="preserve">'P3-High'</w:t>
      </w:r>
      <w:r>
        <w:rPr>
          <w:rStyle w:val="OperatorTok"/>
        </w:rPr>
        <w:t xml:space="preserve">=</w:t>
      </w:r>
      <w:r>
        <w:rPr>
          <w:rStyle w:val="DecValTok"/>
        </w:rPr>
        <w:t xml:space="preserve">3</w:t>
      </w:r>
      <w:r>
        <w:rPr>
          <w:rStyle w:val="OperatorTok"/>
        </w:rPr>
        <w:t xml:space="preserve">;</w:t>
      </w:r>
      <w:r>
        <w:rPr>
          <w:rStyle w:val="NormalTok"/>
        </w:rPr>
        <w:t xml:space="preserve"> </w:t>
      </w:r>
      <w:r>
        <w:rPr>
          <w:rStyle w:val="StringTok"/>
        </w:rPr>
        <w:t xml:space="preserve">'P4-Medium'</w:t>
      </w:r>
      <w:r>
        <w:rPr>
          <w:rStyle w:val="OperatorTok"/>
        </w:rPr>
        <w:t xml:space="preserve">=</w:t>
      </w:r>
      <w:r>
        <w:rPr>
          <w:rStyle w:val="DecValTok"/>
        </w:rPr>
        <w:t xml:space="preserve">4</w:t>
      </w:r>
      <w:r>
        <w:rPr>
          <w:rStyle w:val="OperatorTok"/>
        </w:rPr>
        <w:t xml:space="preserve">;</w:t>
      </w:r>
      <w:r>
        <w:rPr>
          <w:rStyle w:val="NormalTok"/>
        </w:rPr>
        <w:t xml:space="preserve"> </w:t>
      </w:r>
      <w:r>
        <w:rPr>
          <w:rStyle w:val="StringTok"/>
        </w:rPr>
        <w:t xml:space="preserve">'P5-Low'</w:t>
      </w:r>
      <w:r>
        <w:rPr>
          <w:rStyle w:val="OperatorTok"/>
        </w:rPr>
        <w:t xml:space="preserve">=</w:t>
      </w:r>
      <w:r>
        <w:rPr>
          <w:rStyle w:val="DecValTok"/>
        </w:rPr>
        <w:t xml:space="preserve">5</w:t>
      </w:r>
      <w:r>
        <w:rPr>
          <w:rStyle w:val="NormalTok"/>
        </w:rPr>
        <w:t xml:space="preserve"> </w:t>
      </w:r>
      <w:r>
        <w:rPr>
          <w:rStyle w:val="OperatorTok"/>
        </w:rPr>
        <w:t xml:space="preserv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br/>
      </w:r>
      <w:r>
        <w:rPr>
          <w:rStyle w:val="NormalTok"/>
        </w:rPr>
        <w:t xml:space="preserve">    </w:t>
      </w:r>
      <w:r>
        <w:rPr>
          <w:rStyle w:val="VariableTok"/>
        </w:rPr>
        <w:t xml:space="preserve">$priorityOrder</w:t>
      </w:r>
      <w:r>
        <w:rPr>
          <w:rStyle w:val="OperatorTok"/>
        </w:rPr>
        <w:t xml:space="preserve">[</w:t>
      </w:r>
      <w:r>
        <w:rPr>
          <w:rStyle w:val="VariableTok"/>
        </w:rPr>
        <w:t xml:space="preserve">$_</w:t>
      </w:r>
      <w:r>
        <w:rPr>
          <w:rStyle w:val="OperatorTok"/>
        </w:rPr>
        <w:t xml:space="preserve">.</w:t>
      </w:r>
      <w:r>
        <w:rPr>
          <w:rStyle w:val="FunctionTok"/>
        </w:rPr>
        <w:t xml:space="preserve">Priority</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10000</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Max</w:t>
      </w:r>
      <w:r>
        <w:rPr>
          <w:rStyle w:val="OperatorTok"/>
        </w:rPr>
        <w:t xml:space="preserve">(-</w:t>
      </w:r>
      <w:r>
        <w:rPr>
          <w:rStyle w:val="DecValTok"/>
        </w:rPr>
        <w:t xml:space="preserve">9999</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DaysRemaining</w:t>
      </w:r>
      <w:r>
        <w:rPr>
          <w:rStyle w:val="OperatorTok"/>
        </w:rPr>
        <w:t xml:space="preserve">)</w:t>
      </w:r>
      <w:r>
        <w:br/>
      </w:r>
      <w:r>
        <w:rPr>
          <w:rStyle w:val="OperatorTok"/>
        </w:rPr>
        <w:t xml:space="preserve">}</w:t>
      </w:r>
      <w:r>
        <w:br/>
      </w:r>
      <w:r>
        <w:br/>
      </w:r>
      <w:r>
        <w:rPr>
          <w:rStyle w:val="CommentTok"/>
        </w:rPr>
        <w:t xml:space="preserve"># Summary metrics for the daily compliance record</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TotalFindings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br/>
      </w:r>
      <w:r>
        <w:rPr>
          <w:rStyle w:val="NormalTok"/>
        </w:rPr>
        <w:t xml:space="preserve">    TotalMachines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KEVFindings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InKEV</w:t>
      </w:r>
      <w:r>
        <w:rPr>
          <w:rStyle w:val="OperatorTok"/>
        </w:rPr>
        <w:t xml:space="preserve">).</w:t>
      </w:r>
      <w:r>
        <w:rPr>
          <w:rStyle w:val="FunctionTok"/>
        </w:rPr>
        <w:t xml:space="preserve">Count</w:t>
      </w:r>
      <w:r>
        <w:br/>
      </w:r>
      <w:r>
        <w:rPr>
          <w:rStyle w:val="NormalTok"/>
        </w:rPr>
        <w:t xml:space="preserve">    P0_KEV_Internet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'P0-KEV-Internet'</w:t>
      </w:r>
      <w:r>
        <w:rPr>
          <w:rStyle w:val="OperatorTok"/>
        </w:rPr>
        <w:t xml:space="preserve">).</w:t>
      </w:r>
      <w:r>
        <w:rPr>
          <w:rStyle w:val="FunctionTok"/>
        </w:rPr>
        <w:t xml:space="preserve">Count</w:t>
      </w:r>
      <w:r>
        <w:br/>
      </w:r>
      <w:r>
        <w:rPr>
          <w:rStyle w:val="NormalTok"/>
        </w:rPr>
        <w:t xml:space="preserve">    P1_KEV_Internal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'P1-KEV-Internal'</w:t>
      </w:r>
      <w:r>
        <w:rPr>
          <w:rStyle w:val="OperatorTok"/>
        </w:rPr>
        <w:t xml:space="preserve">).</w:t>
      </w:r>
      <w:r>
        <w:rPr>
          <w:rStyle w:val="FunctionTok"/>
        </w:rPr>
        <w:t xml:space="preserve">Count</w:t>
      </w:r>
      <w:r>
        <w:br/>
      </w:r>
      <w:r>
        <w:rPr>
          <w:rStyle w:val="NormalTok"/>
        </w:rPr>
        <w:t xml:space="preserve">    P2_Critical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'P2-Critical'</w:t>
      </w:r>
      <w:r>
        <w:rPr>
          <w:rStyle w:val="OperatorTok"/>
        </w:rPr>
        <w:t xml:space="preserve">).</w:t>
      </w:r>
      <w:r>
        <w:rPr>
          <w:rStyle w:val="FunctionTok"/>
        </w:rPr>
        <w:t xml:space="preserve">Count</w:t>
      </w:r>
      <w:r>
        <w:br/>
      </w:r>
      <w:r>
        <w:rPr>
          <w:rStyle w:val="NormalTok"/>
        </w:rPr>
        <w:t xml:space="preserve">    P3_High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'P3-High'</w:t>
      </w:r>
      <w:r>
        <w:rPr>
          <w:rStyle w:val="OperatorTok"/>
        </w:rPr>
        <w:t xml:space="preserve">).</w:t>
      </w:r>
      <w:r>
        <w:rPr>
          <w:rStyle w:val="FunctionTok"/>
        </w:rPr>
        <w:t xml:space="preserve">Count</w:t>
      </w:r>
      <w:r>
        <w:br/>
      </w:r>
      <w:r>
        <w:rPr>
          <w:rStyle w:val="NormalTok"/>
        </w:rPr>
        <w:t xml:space="preserve">    P4_Medium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'P4-Medium'</w:t>
      </w:r>
      <w:r>
        <w:rPr>
          <w:rStyle w:val="OperatorTok"/>
        </w:rPr>
        <w:t xml:space="preserve">).</w:t>
      </w:r>
      <w:r>
        <w:rPr>
          <w:rStyle w:val="FunctionTok"/>
        </w:rPr>
        <w:t xml:space="preserve">Count</w:t>
      </w:r>
      <w:r>
        <w:br/>
      </w:r>
      <w:r>
        <w:rPr>
          <w:rStyle w:val="NormalTok"/>
        </w:rPr>
        <w:t xml:space="preserve">    P5_Low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'P5-Low'</w:t>
      </w:r>
      <w:r>
        <w:rPr>
          <w:rStyle w:val="OperatorTok"/>
        </w:rPr>
        <w:t xml:space="preserve">).</w:t>
      </w:r>
      <w:r>
        <w:rPr>
          <w:rStyle w:val="FunctionTok"/>
        </w:rPr>
        <w:t xml:space="preserve">Count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br/>
      </w:r>
      <w:r>
        <w:rPr>
          <w:rStyle w:val="NormalTok"/>
        </w:rPr>
        <w:t xml:space="preserve">    SLABreachedKEV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SLABreached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InKEV</w:t>
      </w:r>
      <w:r>
        <w:rPr>
          <w:rStyle w:val="NormalTok"/>
        </w:rPr>
        <w:t xml:space="preserve"> </w:t>
      </w:r>
      <w:r>
        <w:rPr>
          <w:rStyle w:val="OperatorTok"/>
        </w:rPr>
        <w:t xml:space="preserve">}).</w:t>
      </w:r>
      <w:r>
        <w:rPr>
          <w:rStyle w:val="FunctionTok"/>
        </w:rPr>
        <w:t xml:space="preserve">Count</w:t>
      </w:r>
      <w:r>
        <w:br/>
      </w:r>
      <w:r>
        <w:rPr>
          <w:rStyle w:val="NormalTok"/>
        </w:rPr>
        <w:t xml:space="preserve">    MachinesOutOfSLA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PatchComplianceRate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DecValTok"/>
        </w:rPr>
        <w:t xml:space="preserve">100</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br/>
      </w:r>
      <w:r>
        <w:rPr>
          <w:rStyle w:val="NormalTok"/>
        </w:rPr>
        <w:t xml:space="preserve">    KEVCatalogSize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Count</w:t>
      </w:r>
      <w:r>
        <w:br/>
      </w:r>
      <w:r>
        <w:rPr>
          <w:rStyle w:val="NormalTok"/>
        </w:rPr>
        <w:t xml:space="preserve">    KEVCatalogAsOf       </w:t>
      </w:r>
      <w:r>
        <w:rPr>
          <w:rStyle w:val="OperatorTok"/>
        </w:rPr>
        <w:t xml:space="preserve">=</w:t>
      </w:r>
      <w:r>
        <w:rPr>
          <w:rStyle w:val="NormalTok"/>
        </w:rPr>
        <w:t xml:space="preserve"> </w:t>
      </w:r>
      <w:r>
        <w:rPr>
          <w:rStyle w:val="VariableTok"/>
        </w:rPr>
        <w:t xml:space="preserve">$kevData</w:t>
      </w:r>
      <w:r>
        <w:rPr>
          <w:rStyle w:val="OperatorTok"/>
        </w:rPr>
        <w:t xml:space="preserve">.</w:t>
      </w:r>
      <w:r>
        <w:rPr>
          <w:rStyle w:val="FunctionTok"/>
        </w:rPr>
        <w:t xml:space="preserve">catalogVersion</w:t>
      </w:r>
      <w:r>
        <w:br/>
      </w:r>
      <w:r>
        <w:rPr>
          <w:rStyle w:val="OperatorTok"/>
        </w:rPr>
        <w:t xml:space="preserve">}</w:t>
      </w:r>
      <w:r>
        <w:br/>
      </w:r>
      <w:r>
        <w:br/>
      </w:r>
      <w:r>
        <w:rPr>
          <w:rStyle w:val="CommentTok"/>
        </w:rPr>
        <w:t xml:space="preserve"># Write daily output files</w:t>
      </w:r>
      <w:r>
        <w:br/>
      </w:r>
      <w:r>
        <w:rPr>
          <w:rStyle w:val="VariableTok"/>
        </w:rPr>
        <w:t xml:space="preserve">$queuePath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.json"</w:t>
      </w:r>
      <w:r>
        <w:br/>
      </w:r>
      <w:r>
        <w:rPr>
          <w:rStyle w:val="VariableTok"/>
        </w:rPr>
        <w:t xml:space="preserve">$summaryPath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"compliance-summary-</w:t>
      </w:r>
      <w:r>
        <w:rPr>
          <w:rStyle w:val="VariableTok"/>
        </w:rPr>
        <w:t xml:space="preserve">$today</w:t>
      </w:r>
      <w:r>
        <w:rPr>
          <w:rStyle w:val="StringTok"/>
        </w:rPr>
        <w:t xml:space="preserve">.json"</w:t>
      </w:r>
      <w:r>
        <w:br/>
      </w:r>
      <w:r>
        <w:rPr>
          <w:rStyle w:val="VariableTok"/>
        </w:rPr>
        <w:t xml:space="preserve">$archivePath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$HistoryDir</w:t>
      </w:r>
      <w:r>
        <w:rPr>
          <w:rStyle w:val="NormalTok"/>
        </w:rPr>
        <w:t xml:space="preserve"> </w:t>
      </w:r>
      <w:r>
        <w:rPr>
          <w:rStyle w:val="StringTok"/>
        </w:rPr>
        <w:t xml:space="preserve">"patch-queue-</w:t>
      </w:r>
      <w:r>
        <w:rPr>
          <w:rStyle w:val="VariableTok"/>
        </w:rPr>
        <w:t xml:space="preserve">$timestamp</w:t>
      </w:r>
      <w:r>
        <w:rPr>
          <w:rStyle w:val="StringTok"/>
        </w:rPr>
        <w:t xml:space="preserve">.json"</w:t>
      </w:r>
      <w:r>
        <w:br/>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$queuePath</w:t>
      </w:r>
      <w:r>
        <w:rPr>
          <w:rStyle w:val="NormalTok"/>
        </w:rPr>
        <w:t xml:space="preserve">   </w:t>
      </w:r>
      <w:r>
        <w:rPr>
          <w:rStyle w:val="OperatorTok"/>
        </w:rPr>
        <w:t xml:space="preserve">-</w:t>
      </w:r>
      <w:r>
        <w:rPr>
          <w:rStyle w:val="NormalTok"/>
        </w:rPr>
        <w:t xml:space="preserve">Encoding UTF8</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2</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$summaryPath</w:t>
      </w:r>
      <w:r>
        <w:rPr>
          <w:rStyle w:val="NormalTok"/>
        </w:rPr>
        <w:t xml:space="preserve"> </w:t>
      </w:r>
      <w:r>
        <w:rPr>
          <w:rStyle w:val="OperatorTok"/>
        </w:rPr>
        <w:t xml:space="preserve">-</w:t>
      </w:r>
      <w:r>
        <w:rPr>
          <w:rStyle w:val="NormalTok"/>
        </w:rPr>
        <w:t xml:space="preserve">Encoding UTF8</w:t>
      </w:r>
      <w:r>
        <w:br/>
      </w:r>
      <w:r>
        <w:rPr>
          <w:rStyle w:val="FunctionTok"/>
        </w:rPr>
        <w:t xml:space="preserve">Copy-Item</w:t>
      </w:r>
      <w:r>
        <w:rPr>
          <w:rStyle w:val="NormalTok"/>
        </w:rPr>
        <w:t xml:space="preserve"> </w:t>
      </w:r>
      <w:r>
        <w:rPr>
          <w:rStyle w:val="VariableTok"/>
        </w:rPr>
        <w:t xml:space="preserve">$queuePath</w:t>
      </w:r>
      <w:r>
        <w:rPr>
          <w:rStyle w:val="NormalTok"/>
        </w:rPr>
        <w:t xml:space="preserve"> </w:t>
      </w:r>
      <w:r>
        <w:rPr>
          <w:rStyle w:val="VariableTok"/>
        </w:rPr>
        <w:t xml:space="preserve">$archivePath</w:t>
      </w:r>
      <w:r>
        <w:br/>
      </w:r>
      <w:r>
        <w:br/>
      </w:r>
      <w:r>
        <w:rPr>
          <w:rStyle w:val="ControlFlowTok"/>
        </w:rPr>
        <w:t xml:space="preserve">if</w:t>
      </w:r>
      <w:r>
        <w:rPr>
          <w:rStyle w:val="NormalTok"/>
        </w:rPr>
        <w:t xml:space="preserve"> </w:t>
      </w:r>
      <w:r>
        <w:rPr>
          <w:rStyle w:val="OperatorTok"/>
        </w:rPr>
        <w:t xml:space="preserve">(</w:t>
      </w:r>
      <w:r>
        <w:rPr>
          <w:rStyle w:val="VariableTok"/>
        </w:rPr>
        <w:t xml:space="preserve">$ExportCsv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.csv"</w:t>
      </w:r>
      <w:r>
        <w:rPr>
          <w:rStyle w:val="OperatorTok"/>
        </w:rPr>
        <w:t xml:space="preserve">)</w:t>
      </w:r>
      <w:r>
        <w:rPr>
          <w:rStyle w:val="NormalTok"/>
        </w:rPr>
        <w:t xml:space="preserve"> </w:t>
      </w:r>
      <w:r>
        <w:rPr>
          <w:rStyle w:val="OperatorTok"/>
        </w:rPr>
        <w:t xml:space="preserve">-</w:t>
      </w:r>
      <w:r>
        <w:rPr>
          <w:rStyle w:val="NormalTok"/>
        </w:rPr>
        <w:t xml:space="preserve">NoTypeInformation</w:t>
      </w:r>
      <w:r>
        <w:br/>
      </w:r>
      <w:r>
        <w:rPr>
          <w:rStyle w:val="OperatorTok"/>
        </w:rPr>
        <w:t xml:space="preserve">}</w:t>
      </w:r>
      <w:r>
        <w:br/>
      </w:r>
      <w:r>
        <w:br/>
      </w:r>
      <w:r>
        <w:rPr>
          <w:rStyle w:val="CommentTok"/>
        </w:rPr>
        <w:t xml:space="preserve"># Console output</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Daily Patch Queue Summary (</w:t>
      </w:r>
      <w:r>
        <w:rPr>
          <w:rStyle w:val="VariableTok"/>
        </w:rPr>
        <w:t xml:space="preserve">$today</w:t>
      </w:r>
      <w:r>
        <w:rPr>
          <w:rStyle w:val="StringTok"/>
        </w:rPr>
        <w:t xml:space="preserve">) ==="</w:t>
      </w:r>
      <w:r>
        <w:br/>
      </w:r>
      <w:r>
        <w:rPr>
          <w:rStyle w:val="FunctionTok"/>
        </w:rPr>
        <w:t xml:space="preserve">Write-Host</w:t>
      </w:r>
      <w:r>
        <w:rPr>
          <w:rStyle w:val="NormalTok"/>
        </w:rPr>
        <w:t xml:space="preserve"> </w:t>
      </w:r>
      <w:r>
        <w:rPr>
          <w:rStyle w:val="StringTok"/>
        </w:rPr>
        <w:t xml:space="preserve">"Total CVE-machine findings:  </w:t>
      </w:r>
      <w:r>
        <w:rPr>
          <w:rStyle w:val="OperatorTok"/>
        </w:rPr>
        <w:t xml:space="preserve">$(</w:t>
      </w:r>
      <w:r>
        <w:rPr>
          <w:rStyle w:val="VariableTok"/>
        </w:rPr>
        <w:t xml:space="preserve">$summary</w:t>
      </w:r>
      <w:r>
        <w:rPr>
          <w:rStyle w:val="OperatorTok"/>
        </w:rPr>
        <w:t xml:space="preserve">.</w:t>
      </w:r>
      <w:r>
        <w:rPr>
          <w:rStyle w:val="FunctionTok"/>
        </w:rPr>
        <w:t xml:space="preserve">TotalFindings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"Machines with findings:      </w:t>
      </w:r>
      <w:r>
        <w:rPr>
          <w:rStyle w:val="OperatorTok"/>
        </w:rPr>
        <w:t xml:space="preserve">$(</w:t>
      </w:r>
      <w:r>
        <w:rPr>
          <w:rStyle w:val="VariableTok"/>
        </w:rPr>
        <w:t xml:space="preserve">$summary</w:t>
      </w:r>
      <w:r>
        <w:rPr>
          <w:rStyle w:val="OperatorTok"/>
        </w:rPr>
        <w:t xml:space="preserve">.</w:t>
      </w:r>
      <w:r>
        <w:rPr>
          <w:rStyle w:val="FunctionTok"/>
        </w:rPr>
        <w:t xml:space="preserve">TotalMachines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"KEV findings:                </w:t>
      </w:r>
      <w:r>
        <w:rPr>
          <w:rStyle w:val="OperatorTok"/>
        </w:rPr>
        <w:t xml:space="preserve">$(</w:t>
      </w:r>
      <w:r>
        <w:rPr>
          <w:rStyle w:val="VariableTok"/>
        </w:rPr>
        <w:t xml:space="preserve">$summary</w:t>
      </w:r>
      <w:r>
        <w:rPr>
          <w:rStyle w:val="OperatorTok"/>
        </w:rPr>
        <w:t xml:space="preserve">.</w:t>
      </w:r>
      <w:r>
        <w:rPr>
          <w:rStyle w:val="FunctionTok"/>
        </w:rPr>
        <w:t xml:space="preserve">KEVFindings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P0 (KEV Internet-facing):  </w:t>
      </w:r>
      <w:r>
        <w:rPr>
          <w:rStyle w:val="OperatorTok"/>
        </w:rPr>
        <w:t xml:space="preserve">$(</w:t>
      </w:r>
      <w:r>
        <w:rPr>
          <w:rStyle w:val="VariableTok"/>
        </w:rPr>
        <w:t xml:space="preserve">$summary</w:t>
      </w:r>
      <w:r>
        <w:rPr>
          <w:rStyle w:val="OperatorTok"/>
        </w:rPr>
        <w:t xml:space="preserve">.</w:t>
      </w:r>
      <w:r>
        <w:rPr>
          <w:rStyle w:val="FunctionTok"/>
        </w:rPr>
        <w:t xml:space="preserve">P0_KEV_Internet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P1 (KEV Internal):         </w:t>
      </w:r>
      <w:r>
        <w:rPr>
          <w:rStyle w:val="OperatorTok"/>
        </w:rPr>
        <w:t xml:space="preserve">$(</w:t>
      </w:r>
      <w:r>
        <w:rPr>
          <w:rStyle w:val="VariableTok"/>
        </w:rPr>
        <w:t xml:space="preserve">$summary</w:t>
      </w:r>
      <w:r>
        <w:rPr>
          <w:rStyle w:val="OperatorTok"/>
        </w:rPr>
        <w:t xml:space="preserve">.</w:t>
      </w:r>
      <w:r>
        <w:rPr>
          <w:rStyle w:val="FunctionTok"/>
        </w:rPr>
        <w:t xml:space="preserve">P1_KEV_Internal</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(total):        </w:t>
      </w:r>
      <w:r>
        <w:rPr>
          <w:rStyle w:val="OperatorTok"/>
        </w:rPr>
        <w:t xml:space="preserve">$(</w:t>
      </w:r>
      <w:r>
        <w:rPr>
          <w:rStyle w:val="VariableTok"/>
        </w:rPr>
        <w:t xml:space="preserve">$summary</w:t>
      </w:r>
      <w:r>
        <w:rPr>
          <w:rStyle w:val="OperatorTok"/>
        </w:rPr>
        <w:t xml:space="preserve">.</w:t>
      </w:r>
      <w:r>
        <w:rPr>
          <w:rStyle w:val="FunctionTok"/>
        </w:rPr>
        <w:t xml:space="preserve">SLABreached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(KEV):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"Patch compliance rate:       </w:t>
      </w:r>
      <w:r>
        <w:rPr>
          <w:rStyle w:val="OperatorTok"/>
        </w:rPr>
        <w:t xml:space="preserve">$(</w:t>
      </w:r>
      <w:r>
        <w:rPr>
          <w:rStyle w:val="VariableTok"/>
        </w:rPr>
        <w:t xml:space="preserve">$summary</w:t>
      </w:r>
      <w:r>
        <w:rPr>
          <w:rStyle w:val="OperatorTok"/>
        </w:rPr>
        <w:t xml:space="preserve">.</w:t>
      </w:r>
      <w:r>
        <w:rPr>
          <w:rStyle w:val="FunctionTok"/>
        </w:rPr>
        <w:t xml:space="preserve">PatchComplianceRate</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"Patch queue written to: </w:t>
      </w:r>
      <w:r>
        <w:rPr>
          <w:rStyle w:val="VariableTok"/>
        </w:rPr>
        <w:t xml:space="preserve">$queuePath</w:t>
      </w:r>
      <w:r>
        <w:rPr>
          <w:rStyle w:val="StringTok"/>
        </w:rPr>
        <w:t xml:space="preserve">"</w:t>
      </w:r>
      <w:r>
        <w:br/>
      </w:r>
      <w:r>
        <w:rPr>
          <w:rStyle w:val="FunctionTok"/>
        </w:rPr>
        <w:t xml:space="preserve">Write-Host</w:t>
      </w:r>
      <w:r>
        <w:rPr>
          <w:rStyle w:val="NormalTok"/>
        </w:rPr>
        <w:t xml:space="preserve"> </w:t>
      </w:r>
      <w:r>
        <w:rPr>
          <w:rStyle w:val="StringTok"/>
        </w:rPr>
        <w:t xml:space="preserve">"Compliance summary:     </w:t>
      </w:r>
      <w:r>
        <w:rPr>
          <w:rStyle w:val="VariableTok"/>
        </w:rPr>
        <w:t xml:space="preserve">$summaryPath</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"ALERT: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 KEV findings have breached their BOD 26-04 SLA. Escalate immediately."</w:t>
      </w:r>
      <w:r>
        <w:br/>
      </w:r>
      <w:r>
        <w:rPr>
          <w:rStyle w:val="OperatorTok"/>
        </w:rPr>
        <w:t xml:space="preserve">}</w:t>
      </w:r>
    </w:p>
    <w:p>
      <w:pPr>
        <w:pStyle w:val="FirstParagraph"/>
      </w:pPr>
      <w:r>
        <w:rPr>
          <w:b/>
          <w:bCs/>
        </w:rPr>
        <w:t xml:space="preserve">BOD 26-04 Reporting Obligation</w:t>
      </w:r>
      <w:r>
        <w:t xml:space="preserve"> </w:t>
      </w:r>
      <w:r>
        <w:t xml:space="preserve">— Agencies subject to BOD 26-04 must report remediation status for KEV catalog entries to CISA through the Continuous Diagnostics and Mitigation (CDM) program. The daily compliance summary JSON produced by the script above is structured to support onward reporting into the CDM Agency Dashboard; coordinate the field mapping with your CDM team to configure automated upload of the summary file.</w:t>
      </w:r>
    </w:p>
    <w:p>
      <w:r>
        <w:pict>
          <v:rect style="width:0;height:1.5pt" o:hralign="center" o:hrstd="t" o:hr="t"/>
        </w:pict>
      </w:r>
    </w:p>
    <w:bookmarkEnd w:id="60"/>
    <w:bookmarkEnd w:id="61"/>
    <w:bookmarkStart w:id="65" w:name="Xdf3b0acc0c25bd4b09c802266a2ca7c8cdf1dfb"/>
    <w:p>
      <w:pPr>
        <w:pStyle w:val="Heading1"/>
      </w:pPr>
      <w:r>
        <w:t xml:space="preserve">Patch Automation — Azure Update Manager (Servers) and Intune WUfB (Clients)</w:t>
      </w:r>
    </w:p>
    <w:p>
      <w:pPr>
        <w:pStyle w:val="FirstParagraph"/>
      </w:pPr>
      <w:r>
        <w:rPr>
          <w:b/>
          <w:bCs/>
        </w:rPr>
        <w:t xml:space="preserve">Correct the delivery lane by machine class.</w:t>
      </w:r>
      <w:r>
        <w:t xml:space="preserve"> </w:t>
      </w:r>
      <w:r>
        <w:t xml:space="preserve">Intune Windows Update for</w:t>
      </w:r>
      <w:r>
        <w:t xml:space="preserve"> </w:t>
      </w:r>
      <w:r>
        <w:t xml:space="preserve">Business (WUfB) update rings support</w:t>
      </w:r>
      <w:r>
        <w:t xml:space="preserve"> </w:t>
      </w:r>
      <w:r>
        <w:rPr>
          <w:b/>
          <w:bCs/>
        </w:rPr>
        <w:t xml:space="preserve">Windows client editions only</w:t>
      </w:r>
      <w:r>
        <w:t xml:space="preserve"> </w:t>
      </w:r>
      <w:r>
        <w:t xml:space="preserve">(Pro,</w:t>
      </w:r>
      <w:r>
        <w:t xml:space="preserve"> </w:t>
      </w:r>
      <w:r>
        <w:t xml:space="preserve">Enterprise, Education, LTSC) —</w:t>
      </w:r>
      <w:r>
        <w:t xml:space="preserve"> </w:t>
      </w:r>
      <w:r>
        <w:rPr>
          <w:b/>
          <w:bCs/>
        </w:rPr>
        <w:t xml:space="preserve">not Windows Server</w:t>
      </w:r>
      <w:r>
        <w:t xml:space="preserve"> </w:t>
      </w:r>
      <w:r>
        <w:t xml:space="preserve">— and an Intune</w:t>
      </w:r>
      <w:r>
        <w:t xml:space="preserve"> </w:t>
      </w:r>
      <w:r>
        <w:rPr>
          <w:rStyle w:val="VerbatimChar"/>
        </w:rPr>
        <w:t xml:space="preserve">windows10CompliancePolicy</w:t>
      </w:r>
      <w:r>
        <w:t xml:space="preserve"> </w:t>
      </w:r>
      <w:r>
        <w:t xml:space="preserve">evaluates only devices</w:t>
      </w:r>
      <w:r>
        <w:t xml:space="preserve"> </w:t>
      </w:r>
      <w:r>
        <w:rPr>
          <w:b/>
          <w:bCs/>
        </w:rPr>
        <w:t xml:space="preserve">enrolled in Intune MDM</w:t>
      </w:r>
      <w:r>
        <w:t xml:space="preserve">.</w:t>
      </w:r>
      <w:r>
        <w:t xml:space="preserve"> </w:t>
      </w:r>
      <w:r>
        <w:t xml:space="preserve">An Arc-enrolled server is connected through the Azure Connected Machine agent,</w:t>
      </w:r>
      <w:r>
        <w:t xml:space="preserve"> </w:t>
      </w:r>
      <w:r>
        <w:rPr>
          <w:b/>
          <w:bCs/>
        </w:rPr>
        <w:t xml:space="preserve">not</w:t>
      </w:r>
      <w:r>
        <w:t xml:space="preserve"> </w:t>
      </w:r>
      <w:r>
        <w:t xml:space="preserve">MDM-enrolled, so neither WUfB rings nor an Intune compliance policy</w:t>
      </w:r>
      <w:r>
        <w:t xml:space="preserve"> </w:t>
      </w:r>
      <w:r>
        <w:t xml:space="preserve">reaches it. For this book’s estate —</w:t>
      </w:r>
      <w:r>
        <w:t xml:space="preserve"> </w:t>
      </w:r>
      <w:r>
        <w:rPr>
          <w:b/>
          <w:bCs/>
        </w:rPr>
        <w:t xml:space="preserve">Arc-enrolled Windows Servers</w:t>
      </w:r>
      <w:r>
        <w:t xml:space="preserve"> </w:t>
      </w:r>
      <w:r>
        <w:t xml:space="preserve">(domain</w:t>
      </w:r>
      <w:r>
        <w:t xml:space="preserve"> </w:t>
      </w:r>
      <w:r>
        <w:t xml:space="preserve">controllers, database servers) — patch delivery and enforcement run through</w:t>
      </w:r>
      <w:r>
        <w:t xml:space="preserve"> </w:t>
      </w:r>
      <w:r>
        <w:rPr>
          <w:b/>
          <w:bCs/>
        </w:rPr>
        <w:t xml:space="preserve">Azure Update Manager</w:t>
      </w:r>
      <w:r>
        <w:t xml:space="preserve"> </w:t>
      </w:r>
      <w:r>
        <w:t xml:space="preserve">(periodic assessment, scheduled patching via</w:t>
      </w:r>
      <w:r>
        <w:t xml:space="preserve"> </w:t>
      </w:r>
      <w:r>
        <w:t xml:space="preserve">maintenance configurations, dynamic scoping) governed by</w:t>
      </w:r>
      <w:r>
        <w:t xml:space="preserve"> </w:t>
      </w:r>
      <w:r>
        <w:rPr>
          <w:b/>
          <w:bCs/>
        </w:rPr>
        <w:t xml:space="preserve">Azure Policy</w:t>
      </w:r>
      <w:r>
        <w:t xml:space="preserve">, the</w:t>
      </w:r>
      <w:r>
        <w:t xml:space="preserve"> </w:t>
      </w:r>
      <w:r>
        <w:t xml:space="preserve">same lane the Linux section below uses. The WUfB ring and compliance-policy</w:t>
      </w:r>
      <w:r>
        <w:t xml:space="preserve"> </w:t>
      </w:r>
      <w:r>
        <w:t xml:space="preserve">material that follows applies to the</w:t>
      </w:r>
      <w:r>
        <w:t xml:space="preserve"> </w:t>
      </w:r>
      <w:r>
        <w:rPr>
          <w:b/>
          <w:bCs/>
        </w:rPr>
        <w:t xml:space="preserve">Windows 10/11 client fleet</w:t>
      </w:r>
      <w:r>
        <w:t xml:space="preserve"> </w:t>
      </w:r>
      <w:r>
        <w:t xml:space="preserve">(field-office</w:t>
      </w:r>
      <w:r>
        <w:t xml:space="preserve"> </w:t>
      </w:r>
      <w:r>
        <w:t xml:space="preserve">workstations), not the server estate.</w:t>
      </w:r>
      <w:r>
        <w:t xml:space="preserve"> </w:t>
      </w:r>
      <w:r>
        <w:rPr>
          <w:i/>
          <w:iCs/>
        </w:rPr>
        <w:t xml:space="preserve">A full Azure Update Manager</w:t>
      </w:r>
      <w:r>
        <w:rPr>
          <w:i/>
          <w:iCs/>
        </w:rPr>
        <w:t xml:space="preserve"> </w:t>
      </w:r>
      <w:r>
        <w:rPr>
          <w:i/>
          <w:iCs/>
        </w:rPr>
        <w:t xml:space="preserve">implementation for the Windows-server lane is tracked as follow-up work; the</w:t>
      </w:r>
      <w:r>
        <w:rPr>
          <w:i/>
          <w:iCs/>
        </w:rPr>
        <w:t xml:space="preserve"> </w:t>
      </w:r>
      <w:r>
        <w:rPr>
          <w:i/>
          <w:iCs/>
        </w:rPr>
        <w:t xml:space="preserve">scripts below are the client lane.</w:t>
      </w:r>
    </w:p>
    <w:bookmarkStart w:id="62" w:name="Xb8c577536cf774921411973e5fad043fb1e7e0f"/>
    <w:p>
      <w:pPr>
        <w:pStyle w:val="Heading2"/>
      </w:pPr>
      <w:r>
        <w:t xml:space="preserve">Windows Update for Business Architecture (Windows 10/11 clients)</w:t>
      </w:r>
    </w:p>
    <w:p>
      <w:pPr>
        <w:pStyle w:val="FirstParagraph"/>
      </w:pPr>
      <w:r>
        <w:t xml:space="preserve">Windows Update for Business (WUfB) is Microsoft’s managed update service that delivers Windows patches directly from Microsoft’s Content Delivery Network without requiring an on-premises WSUS server. When managed through Intune (endpoint management), WUfB provides granular control over update timing, ring-based deployment, and compliance enforcement.</w:t>
      </w:r>
    </w:p>
    <w:p>
      <w:pPr>
        <w:pStyle w:val="BodyText"/>
      </w:pPr>
      <w:r>
        <w:t xml:space="preserve">The WUfB ring model is the central mechanism for controlled patch rollout. Rings define groups of machines that receive updates at different points in the release cycle. This allows a patch to be validated on a small pilot population before broad deployment, and for emergency patches to bypass the normal ring schedule via the expedited update mechanism.</w:t>
      </w:r>
    </w:p>
    <w:p>
      <w:pPr>
        <w:pStyle w:val="BodyText"/>
      </w:pPr>
      <w:r>
        <w:rPr>
          <w:b/>
          <w:bCs/>
        </w:rPr>
        <w:t xml:space="preserve">WSUS vs. WUfB</w:t>
      </w:r>
      <w:r>
        <w:t xml:space="preserve"> </w:t>
      </w:r>
      <w:r>
        <w:t xml:space="preserve">— Agencies running WSUS for on-premises patch management can migrate to WUfB for Arc-enrolled and Intune-managed machines without decommissioning WSUS for machines that remain outside that management boundary. WUfB and WSUS can coexist. The migration path is to place Intune-managed machines in WUfB policy and leave the remaining population in WSUS until it is enrolled.</w:t>
      </w:r>
    </w:p>
    <w:bookmarkEnd w:id="62"/>
    <w:bookmarkStart w:id="63" w:name="ring-configuration"/>
    <w:p>
      <w:pPr>
        <w:pStyle w:val="Heading2"/>
      </w:pPr>
      <w:r>
        <w:t xml:space="preserve">Ring Configuration</w:t>
      </w:r>
    </w:p>
    <w:p>
      <w:pPr>
        <w:pStyle w:val="FirstParagraph"/>
      </w:pPr>
      <w:r>
        <w:t xml:space="preserve">Three rings are defined for this implementation. The pilot ring contains machines used by IT staff and technically capable early adopters — typically 5–10% of the estate. The broad ring contains the main production population deployed two weeks after pilot. The production ring contains the most sensitive client workloads (executive and IT-administrator workstations, kiosks) deployed one week after broad, with an additional 72-hour observation window before forced installation. (Server workloads — domain controllers, database servers — are patched through Azure Update Manager, not these client rings; see the correction callout above.)</w:t>
      </w:r>
    </w:p>
    <w:p>
      <w:pPr>
        <w:pStyle w:val="BodyText"/>
      </w:pPr>
      <w:r>
        <w:t xml:space="preserve">For KEV-driven emergency patches, all rings are bypassed by the expedited update mechanism. An expedited update policy targets all devices regardless of ring and begins downloading within 24 hours of policy assignment.</w:t>
      </w:r>
    </w:p>
    <w:p>
      <w:pPr>
        <w:pStyle w:val="BodyText"/>
      </w:pPr>
      <w:r>
        <w:t xml:space="preserve">The following PowerShell script configures the three update rings via the Microsoft Graph API. It requires the</w:t>
      </w:r>
      <w:r>
        <w:t xml:space="preserve"> </w:t>
      </w:r>
      <w:r>
        <w:rPr>
          <w:rStyle w:val="VerbatimChar"/>
        </w:rPr>
        <w:t xml:space="preserve">Microsoft.Graph</w:t>
      </w:r>
      <w:r>
        <w:t xml:space="preserve"> </w:t>
      </w:r>
      <w:r>
        <w:t xml:space="preserve">module and a service principal with</w:t>
      </w:r>
      <w:r>
        <w:t xml:space="preserve"> </w:t>
      </w:r>
      <w:r>
        <w:rPr>
          <w:rStyle w:val="VerbatimChar"/>
        </w:rPr>
        <w:t xml:space="preserve">DeviceManagementConfiguration.ReadWrite.All</w:t>
      </w:r>
      <w:r>
        <w:t xml:space="preserve"> </w:t>
      </w:r>
      <w:r>
        <w:t xml:space="preserve">permission.</w:t>
      </w:r>
    </w:p>
    <w:p>
      <w:pPr>
        <w:pStyle w:val="SourceCode"/>
      </w:pPr>
      <w:r>
        <w:rPr>
          <w:rStyle w:val="CommentTok"/>
        </w:rPr>
        <w:t xml:space="preserve"># Configure Intune WUfB update rings for patch automation</w:t>
      </w:r>
      <w:r>
        <w:br/>
      </w:r>
      <w:r>
        <w:rPr>
          <w:rStyle w:val="CommentTok"/>
        </w:rPr>
        <w:t xml:space="preserve"># Requires: Microsoft.Graph PowerShell module</w:t>
      </w:r>
      <w:r>
        <w:br/>
      </w:r>
      <w:r>
        <w:rPr>
          <w:rStyle w:val="CommentTok"/>
        </w:rPr>
        <w:t xml:space="preserve"># Permission: DeviceManagementConfiguration.ReadWrite.All</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br/>
      </w:r>
      <w:r>
        <w:rPr>
          <w:rStyle w:val="OperatorTok"/>
        </w:rPr>
        <w:t xml:space="preserve">)</w:t>
      </w:r>
      <w:r>
        <w:br/>
      </w:r>
      <w:r>
        <w:br/>
      </w:r>
      <w:r>
        <w:rPr>
          <w:rStyle w:val="CommentTok"/>
        </w:rPr>
        <w:t xml:space="preserve"># Authenticate to Microsoft Graph</w:t>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'https://graph.microsoft.com/.default'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VariableTok"/>
        </w:rPr>
        <w:t xml:space="preserve">$graphBase</w:t>
      </w:r>
      <w:r>
        <w:rPr>
          <w:rStyle w:val="NormalTok"/>
        </w:rPr>
        <w:t xml:space="preserve"> </w:t>
      </w:r>
      <w:r>
        <w:rPr>
          <w:rStyle w:val="OperatorTok"/>
        </w:rPr>
        <w:t xml:space="preserve">=</w:t>
      </w:r>
      <w:r>
        <w:rPr>
          <w:rStyle w:val="NormalTok"/>
        </w:rPr>
        <w:t xml:space="preserve"> </w:t>
      </w:r>
      <w:r>
        <w:rPr>
          <w:rStyle w:val="StringTok"/>
        </w:rPr>
        <w:t xml:space="preserve">'https://graph.microsoft.com/v1.0'</w:t>
      </w:r>
      <w:r>
        <w:br/>
      </w:r>
      <w:r>
        <w:br/>
      </w:r>
      <w:r>
        <w:rPr>
          <w:rStyle w:val="CommentTok"/>
        </w:rPr>
        <w:t xml:space="preserve"># Ring definitions</w:t>
      </w:r>
      <w:r>
        <w:br/>
      </w:r>
      <w:r>
        <w:rPr>
          <w:rStyle w:val="VariableTok"/>
        </w:rPr>
        <w:t xml:space="preserve">$rings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'WUfB-Ring-Pilot'</w:t>
      </w:r>
      <w:r>
        <w:br/>
      </w:r>
      <w:r>
        <w:rPr>
          <w:rStyle w:val="NormalTok"/>
        </w:rPr>
        <w:t xml:space="preserve">        description          </w:t>
      </w:r>
      <w:r>
        <w:rPr>
          <w:rStyle w:val="OperatorTok"/>
        </w:rPr>
        <w:t xml:space="preserve">=</w:t>
      </w:r>
      <w:r>
        <w:rPr>
          <w:rStyle w:val="NormalTok"/>
        </w:rPr>
        <w:t xml:space="preserve"> </w:t>
      </w:r>
      <w:r>
        <w:rPr>
          <w:rStyle w:val="StringTok"/>
        </w:rPr>
        <w:t xml:space="preserve">'Pilot ring: IT staff and early adopters. Receives updates immediately after Patch Tuesday.'</w:t>
      </w:r>
      <w:r>
        <w:br/>
      </w:r>
      <w:r>
        <w:rPr>
          <w:rStyle w:val="NormalTok"/>
        </w:rPr>
        <w:t xml:space="preserve">        featureUpdatesDeferred </w:t>
      </w:r>
      <w:r>
        <w:rPr>
          <w:rStyle w:val="OperatorTok"/>
        </w:rPr>
        <w:t xml:space="preserve">=</w:t>
      </w:r>
      <w:r>
        <w:rPr>
          <w:rStyle w:val="NormalTok"/>
        </w:rPr>
        <w:t xml:space="preserve"> </w:t>
      </w:r>
      <w:r>
        <w:rPr>
          <w:rStyle w:val="DecValTok"/>
        </w:rPr>
        <w:t xml:space="preserve">30</w:t>
      </w:r>
      <w:r>
        <w:rPr>
          <w:rStyle w:val="NormalTok"/>
        </w:rPr>
        <w:t xml:space="preserve">          </w:t>
      </w:r>
      <w:r>
        <w:rPr>
          <w:rStyle w:val="CommentTok"/>
        </w:rPr>
        <w:t xml:space="preserve"># Days to defer feature updates</w:t>
      </w:r>
      <w:r>
        <w:br/>
      </w:r>
      <w:r>
        <w:rPr>
          <w:rStyle w:val="NormalTok"/>
        </w:rPr>
        <w:t xml:space="preserve">        qualityUpdatesDeferral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Quality (security) updates deferred 0 days in pilot</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3</w:t>
      </w:r>
      <w:r>
        <w:rPr>
          <w:rStyle w:val="NormalTok"/>
        </w:rPr>
        <w:t xml:space="preserve">        </w:t>
      </w:r>
      <w:r>
        <w:rPr>
          <w:rStyle w:val="CommentTok"/>
        </w:rPr>
        <w:t xml:space="preserve"># Force install 3 days after deferral period</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rPr>
          <w:rStyle w:val="NormalTok"/>
        </w:rPr>
        <w:t xml:space="preserve">             </w:t>
      </w:r>
      <w:r>
        <w:rPr>
          <w:rStyle w:val="CommentTok"/>
        </w:rPr>
        <w:t xml:space="preserve"># 2-day grace period after deadline</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4</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15</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'WUfB-Ring-Broad'</w:t>
      </w:r>
      <w:r>
        <w:br/>
      </w:r>
      <w:r>
        <w:rPr>
          <w:rStyle w:val="NormalTok"/>
        </w:rPr>
        <w:t xml:space="preserve">        description          </w:t>
      </w:r>
      <w:r>
        <w:rPr>
          <w:rStyle w:val="OperatorTok"/>
        </w:rPr>
        <w:t xml:space="preserve">=</w:t>
      </w:r>
      <w:r>
        <w:rPr>
          <w:rStyle w:val="NormalTok"/>
        </w:rPr>
        <w:t xml:space="preserve"> </w:t>
      </w:r>
      <w:r>
        <w:rPr>
          <w:rStyle w:val="StringTok"/>
        </w:rPr>
        <w:t xml:space="preserve">'Broad ring: general production population. Receives updates 14 days after pilot.'</w:t>
      </w:r>
      <w:r>
        <w:br/>
      </w:r>
      <w:r>
        <w:rPr>
          <w:rStyle w:val="NormalTok"/>
        </w:rPr>
        <w:t xml:space="preserve">        featureUpdatesDeferred </w:t>
      </w:r>
      <w:r>
        <w:rPr>
          <w:rStyle w:val="OperatorTok"/>
        </w:rPr>
        <w:t xml:space="preserve">=</w:t>
      </w:r>
      <w:r>
        <w:rPr>
          <w:rStyle w:val="NormalTok"/>
        </w:rPr>
        <w:t xml:space="preserve"> </w:t>
      </w:r>
      <w:r>
        <w:rPr>
          <w:rStyle w:val="DecValTok"/>
        </w:rPr>
        <w:t xml:space="preserve">60</w:t>
      </w:r>
      <w:r>
        <w:br/>
      </w:r>
      <w:r>
        <w:rPr>
          <w:rStyle w:val="NormalTok"/>
        </w:rPr>
        <w:t xml:space="preserve">        qualityUpdatesDeferral </w:t>
      </w:r>
      <w:r>
        <w:rPr>
          <w:rStyle w:val="OperatorTok"/>
        </w:rPr>
        <w:t xml:space="preserve">=</w:t>
      </w:r>
      <w:r>
        <w:rPr>
          <w:rStyle w:val="NormalTok"/>
        </w:rPr>
        <w:t xml:space="preserve"> </w:t>
      </w:r>
      <w:r>
        <w:rPr>
          <w:rStyle w:val="DecValTok"/>
        </w:rPr>
        <w:t xml:space="preserve">14</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8</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30</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'WUfB-Ring-Production'</w:t>
      </w:r>
      <w:r>
        <w:br/>
      </w:r>
      <w:r>
        <w:rPr>
          <w:rStyle w:val="NormalTok"/>
        </w:rPr>
        <w:t xml:space="preserve">        description          </w:t>
      </w:r>
      <w:r>
        <w:rPr>
          <w:rStyle w:val="OperatorTok"/>
        </w:rPr>
        <w:t xml:space="preserve">=</w:t>
      </w:r>
      <w:r>
        <w:rPr>
          <w:rStyle w:val="NormalTok"/>
        </w:rPr>
        <w:t xml:space="preserve"> </w:t>
      </w:r>
      <w:r>
        <w:rPr>
          <w:rStyle w:val="StringTok"/>
        </w:rPr>
        <w:t xml:space="preserve">'Production ring: sensitive servers (DCs, DB servers). 21 days after pilot, 72-hour observation.'</w:t>
      </w:r>
      <w:r>
        <w:br/>
      </w:r>
      <w:r>
        <w:rPr>
          <w:rStyle w:val="NormalTok"/>
        </w:rPr>
        <w:t xml:space="preserve">        featureUpdatesDeferred </w:t>
      </w:r>
      <w:r>
        <w:rPr>
          <w:rStyle w:val="OperatorTok"/>
        </w:rPr>
        <w:t xml:space="preserve">=</w:t>
      </w:r>
      <w:r>
        <w:rPr>
          <w:rStyle w:val="NormalTok"/>
        </w:rPr>
        <w:t xml:space="preserve"> </w:t>
      </w:r>
      <w:r>
        <w:rPr>
          <w:rStyle w:val="DecValTok"/>
        </w:rPr>
        <w:t xml:space="preserve">90</w:t>
      </w:r>
      <w:r>
        <w:br/>
      </w:r>
      <w:r>
        <w:rPr>
          <w:rStyle w:val="NormalTok"/>
        </w:rPr>
        <w:t xml:space="preserve">        qualityUpdatesDeferral </w:t>
      </w:r>
      <w:r>
        <w:rPr>
          <w:rStyle w:val="OperatorTok"/>
        </w:rPr>
        <w:t xml:space="preserve">=</w:t>
      </w:r>
      <w:r>
        <w:rPr>
          <w:rStyle w:val="NormalTok"/>
        </w:rPr>
        <w:t xml:space="preserve"> </w:t>
      </w:r>
      <w:r>
        <w:rPr>
          <w:rStyle w:val="DecValTok"/>
        </w:rPr>
        <w:t xml:space="preserve">21</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3</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12</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60</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$ring</w:t>
      </w:r>
      <w:r>
        <w:rPr>
          <w:rStyle w:val="NormalTok"/>
        </w:rPr>
        <w:t xml:space="preserve"> </w:t>
      </w:r>
      <w:r>
        <w:rPr>
          <w:rStyle w:val="KeywordTok"/>
        </w:rPr>
        <w:t xml:space="preserve">in</w:t>
      </w:r>
      <w:r>
        <w:rPr>
          <w:rStyle w:val="NormalTok"/>
        </w:rPr>
        <w:t xml:space="preserve"> </w:t>
      </w:r>
      <w:r>
        <w:rPr>
          <w:rStyle w:val="VariableTok"/>
        </w:rPr>
        <w:t xml:space="preserve">$rings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'#microsoft.graph.windowsUpdateForBusinessConfiguration'</w:t>
      </w:r>
      <w:r>
        <w:br/>
      </w:r>
      <w:r>
        <w:rPr>
          <w:rStyle w:val="NormalTok"/>
        </w:rPr>
        <w:t xml:space="preserve">        displayName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description</w:t>
      </w:r>
      <w:r>
        <w:br/>
      </w:r>
      <w:r>
        <w:rPr>
          <w:rStyle w:val="NormalTok"/>
        </w:rPr>
        <w:t xml:space="preserve">        microsoftUpdateServiceAllowed             </w:t>
      </w:r>
      <w:r>
        <w:rPr>
          <w:rStyle w:val="OperatorTok"/>
        </w:rPr>
        <w:t xml:space="preserve">=</w:t>
      </w:r>
      <w:r>
        <w:rPr>
          <w:rStyle w:val="NormalTok"/>
        </w:rPr>
        <w:t xml:space="preserve"> </w:t>
      </w:r>
      <w:r>
        <w:rPr>
          <w:rStyle w:val="VariableTok"/>
        </w:rPr>
        <w:t xml:space="preserve">$true</w:t>
      </w:r>
      <w:r>
        <w:br/>
      </w:r>
      <w:r>
        <w:rPr>
          <w:rStyle w:val="NormalTok"/>
        </w:rPr>
        <w:t xml:space="preserve">        driversExcluded                           </w:t>
      </w:r>
      <w:r>
        <w:rPr>
          <w:rStyle w:val="OperatorTok"/>
        </w:rPr>
        <w:t xml:space="preserve">=</w:t>
      </w:r>
      <w:r>
        <w:rPr>
          <w:rStyle w:val="NormalTok"/>
        </w:rPr>
        <w:t xml:space="preserve"> </w:t>
      </w:r>
      <w:r>
        <w:rPr>
          <w:rStyle w:val="VariableTok"/>
        </w:rPr>
        <w:t xml:space="preserve">$false</w:t>
      </w:r>
      <w:r>
        <w:br/>
      </w:r>
      <w:r>
        <w:rPr>
          <w:rStyle w:val="NormalTok"/>
        </w:rPr>
        <w:t xml:space="preserve">        qualityUpdatesDeferralPeriodInDays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qualityUpdatesDeferral</w:t>
      </w:r>
      <w:r>
        <w:br/>
      </w:r>
      <w:r>
        <w:rPr>
          <w:rStyle w:val="NormalTok"/>
        </w:rPr>
        <w:t xml:space="preserve">        featureUpdatesDeferralPeriodInDays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featureUpdatesDeferred</w:t>
      </w:r>
      <w:r>
        <w:br/>
      </w:r>
      <w:r>
        <w:rPr>
          <w:rStyle w:val="NormalTok"/>
        </w:rPr>
        <w:t xml:space="preserve">        qualityUpdatesWillBeRolledBack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featureUpdatesWillBeRolledBack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qualityUpdatesPauseStartDateTime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featureUpdatesPauseStartDateTime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businessReadyUpdatesOnly                  </w:t>
      </w:r>
      <w:r>
        <w:rPr>
          <w:rStyle w:val="OperatorTok"/>
        </w:rPr>
        <w:t xml:space="preserve">=</w:t>
      </w:r>
      <w:r>
        <w:rPr>
          <w:rStyle w:val="NormalTok"/>
        </w:rPr>
        <w:t xml:space="preserve"> </w:t>
      </w:r>
      <w:r>
        <w:rPr>
          <w:rStyle w:val="StringTok"/>
        </w:rPr>
        <w:t xml:space="preserve">'businessReadyOnly'</w:t>
      </w:r>
      <w:r>
        <w:br/>
      </w:r>
      <w:r>
        <w:rPr>
          <w:rStyle w:val="NormalTok"/>
        </w:rPr>
        <w:t xml:space="preserve">        skipChecksBeforeRestart                   </w:t>
      </w:r>
      <w:r>
        <w:rPr>
          <w:rStyle w:val="OperatorTok"/>
        </w:rPr>
        <w:t xml:space="preserve">=</w:t>
      </w:r>
      <w:r>
        <w:rPr>
          <w:rStyle w:val="NormalTok"/>
        </w:rPr>
        <w:t xml:space="preserve"> </w:t>
      </w:r>
      <w:r>
        <w:rPr>
          <w:rStyle w:val="VariableTok"/>
        </w:rPr>
        <w:t xml:space="preserve">$false</w:t>
      </w:r>
      <w:r>
        <w:br/>
      </w:r>
      <w:r>
        <w:rPr>
          <w:rStyle w:val="NormalTok"/>
        </w:rPr>
        <w:t xml:space="preserve">        updateNotificationLevel                   </w:t>
      </w:r>
      <w:r>
        <w:rPr>
          <w:rStyle w:val="OperatorTok"/>
        </w:rPr>
        <w:t xml:space="preserve">=</w:t>
      </w:r>
      <w:r>
        <w:rPr>
          <w:rStyle w:val="NormalTok"/>
        </w:rPr>
        <w:t xml:space="preserve"> </w:t>
      </w:r>
      <w:r>
        <w:rPr>
          <w:rStyle w:val="StringTok"/>
        </w:rPr>
        <w:t xml:space="preserve">'defaultNotifications'</w:t>
      </w:r>
      <w:r>
        <w:br/>
      </w:r>
      <w:r>
        <w:rPr>
          <w:rStyle w:val="NormalTok"/>
        </w:rPr>
        <w:t xml:space="preserve">        deadlineForQualityUpdatesInDays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deadlineForQualityUpdates</w:t>
      </w:r>
      <w:r>
        <w:br/>
      </w:r>
      <w:r>
        <w:rPr>
          <w:rStyle w:val="NormalTok"/>
        </w:rPr>
        <w:t xml:space="preserve">        deadlineForFeatureUpdatesInDays           </w:t>
      </w:r>
      <w:r>
        <w:rPr>
          <w:rStyle w:val="OperatorTok"/>
        </w:rPr>
        <w:t xml:space="preserve">=</w:t>
      </w:r>
      <w:r>
        <w:rPr>
          <w:rStyle w:val="NormalTok"/>
        </w:rPr>
        <w:t xml:space="preserve"> </w:t>
      </w:r>
      <w:r>
        <w:rPr>
          <w:rStyle w:val="DecValTok"/>
        </w:rPr>
        <w:t xml:space="preserve">14</w:t>
      </w:r>
      <w:r>
        <w:br/>
      </w:r>
      <w:r>
        <w:rPr>
          <w:rStyle w:val="NormalTok"/>
        </w:rPr>
        <w:t xml:space="preserve">        deadlineGracePeriodInDays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deadlineGracePeriod</w:t>
      </w:r>
      <w:r>
        <w:br/>
      </w:r>
      <w:r>
        <w:rPr>
          <w:rStyle w:val="NormalTok"/>
        </w:rPr>
        <w:t xml:space="preserve">        postponeRebootUntilAfterDeadline          </w:t>
      </w:r>
      <w:r>
        <w:rPr>
          <w:rStyle w:val="OperatorTok"/>
        </w:rPr>
        <w:t xml:space="preserve">=</w:t>
      </w:r>
      <w:r>
        <w:rPr>
          <w:rStyle w:val="NormalTok"/>
        </w:rPr>
        <w:t xml:space="preserve"> </w:t>
      </w:r>
      <w:r>
        <w:rPr>
          <w:rStyle w:val="VariableTok"/>
        </w:rPr>
        <w:t xml:space="preserve">$false</w:t>
      </w:r>
      <w:r>
        <w:br/>
      </w:r>
      <w:r>
        <w:rPr>
          <w:rStyle w:val="NormalTok"/>
        </w:rPr>
        <w:t xml:space="preserve">        autoRestartNotificationDismissal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autoRestartNotificationDismissal</w:t>
      </w:r>
      <w:r>
        <w:br/>
      </w:r>
      <w:r>
        <w:rPr>
          <w:rStyle w:val="NormalTok"/>
        </w:rPr>
        <w:t xml:space="preserve">        scheduleRestartWarningInHours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scheduleRestartWarningInHours</w:t>
      </w:r>
      <w:r>
        <w:br/>
      </w:r>
      <w:r>
        <w:rPr>
          <w:rStyle w:val="NormalTok"/>
        </w:rPr>
        <w:t xml:space="preserve">        scheduleImminentRestartWarningInMinutes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scheduleImminentRestartWarningInMinutes</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/deviceManagement/deviceConfigurations"</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NormalTok"/>
        </w:rPr>
        <w:t xml:space="preserve">    </w:t>
      </w:r>
      <w:r>
        <w:rPr>
          <w:rStyle w:val="FunctionTok"/>
        </w:rPr>
        <w:t xml:space="preserve">Write-Host</w:t>
      </w:r>
      <w:r>
        <w:rPr>
          <w:rStyle w:val="NormalTok"/>
        </w:rPr>
        <w:t xml:space="preserve"> </w:t>
      </w:r>
      <w:r>
        <w:rPr>
          <w:rStyle w:val="StringTok"/>
        </w:rPr>
        <w:t xml:space="preserve">"Created ring: </w:t>
      </w:r>
      <w:r>
        <w:rPr>
          <w:rStyle w:val="OperatorTok"/>
        </w:rPr>
        <w:t xml:space="preserve">$(</w:t>
      </w:r>
      <w:r>
        <w:rPr>
          <w:rStyle w:val="VariableTok"/>
        </w:rPr>
        <w:t xml:space="preserve">$result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"Update rings created. Next steps:"</w:t>
      </w:r>
      <w:r>
        <w:br/>
      </w:r>
      <w:r>
        <w:rPr>
          <w:rStyle w:val="FunctionTok"/>
        </w:rPr>
        <w:t xml:space="preserve">Write-Host</w:t>
      </w:r>
      <w:r>
        <w:rPr>
          <w:rStyle w:val="NormalTok"/>
        </w:rPr>
        <w:t xml:space="preserve"> </w:t>
      </w:r>
      <w:r>
        <w:rPr>
          <w:rStyle w:val="StringTok"/>
        </w:rPr>
        <w:t xml:space="preserve">"1. Assign device groups to each ring in the Intune portal"</w:t>
      </w:r>
      <w:r>
        <w:br/>
      </w:r>
      <w:r>
        <w:rPr>
          <w:rStyle w:val="FunctionTok"/>
        </w:rPr>
        <w:t xml:space="preserve">Write-Host</w:t>
      </w:r>
      <w:r>
        <w:rPr>
          <w:rStyle w:val="NormalTok"/>
        </w:rPr>
        <w:t xml:space="preserve"> </w:t>
      </w:r>
      <w:r>
        <w:rPr>
          <w:rStyle w:val="StringTok"/>
        </w:rPr>
        <w:t xml:space="preserve">"2. Configure compliance policy (see below) to enforce patch currency"</w:t>
      </w:r>
      <w:r>
        <w:br/>
      </w:r>
      <w:r>
        <w:rPr>
          <w:rStyle w:val="FunctionTok"/>
        </w:rPr>
        <w:t xml:space="preserve">Write-Host</w:t>
      </w:r>
      <w:r>
        <w:rPr>
          <w:rStyle w:val="NormalTok"/>
        </w:rPr>
        <w:t xml:space="preserve"> </w:t>
      </w:r>
      <w:r>
        <w:rPr>
          <w:rStyle w:val="StringTok"/>
        </w:rPr>
        <w:t xml:space="preserve">"3. Link compliance policy to Conditional Access for non-compliant block"</w:t>
      </w:r>
    </w:p>
    <w:bookmarkEnd w:id="63"/>
    <w:bookmarkStart w:id="64" w:name="X7f916346cf379f6a81c9f941d6f082d3ef49415"/>
    <w:p>
      <w:pPr>
        <w:pStyle w:val="Heading2"/>
      </w:pPr>
      <w:r>
        <w:t xml:space="preserve">Compliance Policy and Conditional Access Enforcement</w:t>
      </w:r>
    </w:p>
    <w:p>
      <w:pPr>
        <w:pStyle w:val="FirstParagraph"/>
      </w:pPr>
      <w:r>
        <w:t xml:space="preserve">The patch rings control when patches are delivered. The compliance policy defines when a</w:t>
      </w:r>
      <w:r>
        <w:t xml:space="preserve"> </w:t>
      </w:r>
      <w:r>
        <w:rPr>
          <w:b/>
          <w:bCs/>
        </w:rPr>
        <w:t xml:space="preserve">client</w:t>
      </w:r>
      <w:r>
        <w:t xml:space="preserve"> </w:t>
      </w:r>
      <w:r>
        <w:t xml:space="preserve">is considered compliant with the patch SLA. Intune’s</w:t>
      </w:r>
      <w:r>
        <w:t xml:space="preserve"> </w:t>
      </w:r>
      <w:r>
        <w:rPr>
          <w:rStyle w:val="VerbatimChar"/>
        </w:rPr>
        <w:t xml:space="preserve">windows10CompliancePolicy</w:t>
      </w:r>
      <w:r>
        <w:t xml:space="preserve"> </w:t>
      </w:r>
      <w:r>
        <w:t xml:space="preserve">has no native</w:t>
      </w:r>
      <w:r>
        <w:t xml:space="preserve"> </w:t>
      </w:r>
      <w:r>
        <w:t xml:space="preserve">“days behind”</w:t>
      </w:r>
      <w:r>
        <w:t xml:space="preserve"> </w:t>
      </w:r>
      <w:r>
        <w:t xml:space="preserve">field; patch currency is enforced by pinning</w:t>
      </w:r>
      <w:r>
        <w:t xml:space="preserve"> </w:t>
      </w:r>
      <w:r>
        <w:rPr>
          <w:rStyle w:val="VerbatimChar"/>
        </w:rPr>
        <w:t xml:space="preserve">osMinimumVersion</w:t>
      </w:r>
      <w:r>
        <w:t xml:space="preserve"> </w:t>
      </w:r>
      <w:r>
        <w:t xml:space="preserve">(or</w:t>
      </w:r>
      <w:r>
        <w:t xml:space="preserve"> </w:t>
      </w:r>
      <w:r>
        <w:rPr>
          <w:rStyle w:val="VerbatimChar"/>
        </w:rPr>
        <w:t xml:space="preserve">osValidOperatingSystemBuildRanges</w:t>
      </w:r>
      <w:r>
        <w:t xml:space="preserve">) to the build required as of the currency deadline and refreshing it on a monthly cadence — or by a custom compliance script — so that a client more than ~30 days behind the required build is marked non-compliant, which triggers the Conditional Access enforcement gate: the client loses access to enterprise applications until patching is completed. The policy below leaves those version fields empty for the agency to populate with its current baseline build.</w:t>
      </w:r>
    </w:p>
    <w:p>
      <w:pPr>
        <w:pStyle w:val="SourceCode"/>
      </w:pPr>
      <w:r>
        <w:rPr>
          <w:rStyle w:val="CommentTok"/>
        </w:rPr>
        <w:t xml:space="preserve"># Create Intune compliance policy: patch currency enforcement</w:t>
      </w:r>
      <w:r>
        <w:br/>
      </w:r>
      <w:r>
        <w:rPr>
          <w:rStyle w:val="CommentTok"/>
        </w:rPr>
        <w:t xml:space="preserve"># Client patch-currency compliance (Windows 10/11 only; servers use Azure Update Manager).</w:t>
      </w:r>
      <w:r>
        <w:br/>
      </w:r>
      <w:r>
        <w:rPr>
          <w:rStyle w:val="CommentTok"/>
        </w:rPr>
        <w:t xml:space="preserve"># Enforce "~30 days behind" by pinning osMinimumVersion / build ranges to the required</w:t>
      </w:r>
      <w:r>
        <w:br/>
      </w:r>
      <w:r>
        <w:rPr>
          <w:rStyle w:val="CommentTok"/>
        </w:rPr>
        <w:t xml:space="preserve"># build and refreshing monthly — the empty fields below are placeholders to populate.</w:t>
      </w:r>
      <w:r>
        <w:br/>
      </w:r>
      <w:r>
        <w:br/>
      </w:r>
      <w:r>
        <w:rPr>
          <w:rStyle w:val="VariableTok"/>
        </w:rPr>
        <w:t xml:space="preserve">$compliancePolicy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'Patch-Currency-Compliance'</w:t>
      </w:r>
      <w:r>
        <w:br/>
      </w:r>
      <w:r>
        <w:rPr>
          <w:rStyle w:val="NormalTok"/>
        </w:rPr>
        <w:t xml:space="preserve">    description     </w:t>
      </w:r>
      <w:r>
        <w:rPr>
          <w:rStyle w:val="OperatorTok"/>
        </w:rPr>
        <w:t xml:space="preserve">=</w:t>
      </w:r>
      <w:r>
        <w:rPr>
          <w:rStyle w:val="NormalTok"/>
        </w:rPr>
        <w:t xml:space="preserve"> </w:t>
      </w:r>
      <w:r>
        <w:rPr>
          <w:rStyle w:val="StringTok"/>
        </w:rPr>
        <w:t xml:space="preserve">'Marks machines non-compliant if OS patches are more than 30 days behind. Triggers CA block.'</w:t>
      </w:r>
      <w:r>
        <w:br/>
      </w:r>
      <w:r>
        <w:rPr>
          <w:rStyle w:val="NormalTok"/>
        </w:rPr>
        <w:t xml:space="preserve">    osMinimumVersion </w:t>
      </w:r>
      <w:r>
        <w:rPr>
          <w:rStyle w:val="OperatorTok"/>
        </w:rPr>
        <w:t xml:space="preserve">=</w:t>
      </w:r>
      <w:r>
        <w:rPr>
          <w:rStyle w:val="NormalTok"/>
        </w:rPr>
        <w:t xml:space="preserve"> </w:t>
      </w:r>
      <w:r>
        <w:rPr>
          <w:rStyle w:val="StringTok"/>
        </w:rPr>
        <w:t xml:space="preserve">''</w:t>
      </w:r>
      <w:r>
        <w:br/>
      </w:r>
      <w:r>
        <w:rPr>
          <w:rStyle w:val="NormalTok"/>
        </w:rPr>
        <w:t xml:space="preserve">    osMaximumVersion </w:t>
      </w:r>
      <w:r>
        <w:rPr>
          <w:rStyle w:val="OperatorTok"/>
        </w:rPr>
        <w:t xml:space="preserve">=</w:t>
      </w:r>
      <w:r>
        <w:rPr>
          <w:rStyle w:val="NormalTok"/>
        </w:rPr>
        <w:t xml:space="preserve"> </w:t>
      </w:r>
      <w:r>
        <w:rPr>
          <w:rStyle w:val="StringTok"/>
        </w:rPr>
        <w:t xml:space="preserve">''</w:t>
      </w:r>
      <w:r>
        <w:br/>
      </w:r>
      <w:r>
        <w:rPr>
          <w:rStyle w:val="NormalTok"/>
        </w:rPr>
        <w:t xml:space="preserve">    mobileOsMinimumVersion </w:t>
      </w:r>
      <w:r>
        <w:rPr>
          <w:rStyle w:val="OperatorTok"/>
        </w:rPr>
        <w:t xml:space="preserve">=</w:t>
      </w:r>
      <w:r>
        <w:rPr>
          <w:rStyle w:val="NormalTok"/>
        </w:rPr>
        <w:t xml:space="preserve"> </w:t>
      </w:r>
      <w:r>
        <w:rPr>
          <w:rStyle w:val="StringTok"/>
        </w:rPr>
        <w:t xml:space="preserve">''</w:t>
      </w:r>
      <w:r>
        <w:br/>
      </w:r>
      <w:r>
        <w:rPr>
          <w:rStyle w:val="NormalTok"/>
        </w:rPr>
        <w:t xml:space="preserve">    mobileOsMaximumVersion </w:t>
      </w:r>
      <w:r>
        <w:rPr>
          <w:rStyle w:val="OperatorTok"/>
        </w:rPr>
        <w:t xml:space="preserve">=</w:t>
      </w:r>
      <w:r>
        <w:rPr>
          <w:rStyle w:val="NormalTok"/>
        </w:rPr>
        <w:t xml:space="preserve"> </w:t>
      </w:r>
      <w:r>
        <w:rPr>
          <w:rStyle w:val="StringTok"/>
        </w:rPr>
        <w:t xml:space="preserve">''</w:t>
      </w:r>
      <w:r>
        <w:br/>
      </w:r>
      <w:r>
        <w:rPr>
          <w:rStyle w:val="NormalTok"/>
        </w:rPr>
        <w:t xml:space="preserve">    passwordRequired </w:t>
      </w:r>
      <w:r>
        <w:rPr>
          <w:rStyle w:val="OperatorTok"/>
        </w:rPr>
        <w:t xml:space="preserve">=</w:t>
      </w:r>
      <w:r>
        <w:rPr>
          <w:rStyle w:val="NormalTok"/>
        </w:rPr>
        <w:t xml:space="preserve"> </w:t>
      </w:r>
      <w:r>
        <w:rPr>
          <w:rStyle w:val="VariableTok"/>
        </w:rPr>
        <w:t xml:space="preserve">$false</w:t>
      </w:r>
      <w:r>
        <w:br/>
      </w:r>
      <w:r>
        <w:rPr>
          <w:rStyle w:val="NormalTok"/>
        </w:rPr>
        <w:t xml:space="preserve">    passwordBlockSimple </w:t>
      </w:r>
      <w:r>
        <w:rPr>
          <w:rStyle w:val="OperatorTok"/>
        </w:rPr>
        <w:t xml:space="preserve">=</w:t>
      </w:r>
      <w:r>
        <w:rPr>
          <w:rStyle w:val="NormalTok"/>
        </w:rPr>
        <w:t xml:space="preserve"> </w:t>
      </w:r>
      <w:r>
        <w:rPr>
          <w:rStyle w:val="VariableTok"/>
        </w:rPr>
        <w:t xml:space="preserve">$false</w:t>
      </w:r>
      <w:r>
        <w:br/>
      </w:r>
      <w:r>
        <w:rPr>
          <w:rStyle w:val="NormalTok"/>
        </w:rPr>
        <w:t xml:space="preserve">    passwordRequiredType </w:t>
      </w:r>
      <w:r>
        <w:rPr>
          <w:rStyle w:val="OperatorTok"/>
        </w:rPr>
        <w:t xml:space="preserve">=</w:t>
      </w:r>
      <w:r>
        <w:rPr>
          <w:rStyle w:val="NormalTok"/>
        </w:rPr>
        <w:t xml:space="preserve"> </w:t>
      </w:r>
      <w:r>
        <w:rPr>
          <w:rStyle w:val="StringTok"/>
        </w:rPr>
        <w:t xml:space="preserve">'deviceDefault'</w:t>
      </w:r>
      <w:r>
        <w:br/>
      </w:r>
      <w:r>
        <w:rPr>
          <w:rStyle w:val="NormalTok"/>
        </w:rPr>
        <w:t xml:space="preserve">    passwordMinimumLength </w:t>
      </w:r>
      <w:r>
        <w:rPr>
          <w:rStyle w:val="OperatorTok"/>
        </w:rPr>
        <w:t xml:space="preserve">=</w:t>
      </w:r>
      <w:r>
        <w:rPr>
          <w:rStyle w:val="NormalTok"/>
        </w:rPr>
        <w:t xml:space="preserve"> </w:t>
      </w:r>
      <w:r>
        <w:rPr>
          <w:rStyle w:val="DecValTok"/>
        </w:rPr>
        <w:t xml:space="preserve">0</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0</w:t>
      </w:r>
      <w:r>
        <w:br/>
      </w:r>
      <w:r>
        <w:rPr>
          <w:rStyle w:val="NormalTok"/>
        </w:rPr>
        <w:t xml:space="preserve">    passwordExpirationDays </w:t>
      </w:r>
      <w:r>
        <w:rPr>
          <w:rStyle w:val="OperatorTok"/>
        </w:rPr>
        <w:t xml:space="preserve">=</w:t>
      </w:r>
      <w:r>
        <w:rPr>
          <w:rStyle w:val="NormalTok"/>
        </w:rPr>
        <w:t xml:space="preserve"> </w:t>
      </w:r>
      <w:r>
        <w:rPr>
          <w:rStyle w:val="DecValTok"/>
        </w:rPr>
        <w:t xml:space="preserve">0</w:t>
      </w:r>
      <w:r>
        <w:br/>
      </w:r>
      <w:r>
        <w:rPr>
          <w:rStyle w:val="NormalTok"/>
        </w:rPr>
        <w:t xml:space="preserve">    passwordPreviousPasswordBlockCount </w:t>
      </w:r>
      <w:r>
        <w:rPr>
          <w:rStyle w:val="OperatorTok"/>
        </w:rPr>
        <w:t xml:space="preserve">=</w:t>
      </w:r>
      <w:r>
        <w:rPr>
          <w:rStyle w:val="NormalTok"/>
        </w:rPr>
        <w:t xml:space="preserve"> </w:t>
      </w:r>
      <w:r>
        <w:rPr>
          <w:rStyle w:val="DecValTok"/>
        </w:rPr>
        <w:t xml:space="preserve">0</w:t>
      </w:r>
      <w:r>
        <w:br/>
      </w:r>
      <w:r>
        <w:rPr>
          <w:rStyle w:val="NormalTok"/>
        </w:rPr>
        <w:t xml:space="preserve">    requireHealthyDeviceReport </w:t>
      </w:r>
      <w:r>
        <w:rPr>
          <w:rStyle w:val="OperatorTok"/>
        </w:rPr>
        <w:t xml:space="preserve">=</w:t>
      </w:r>
      <w:r>
        <w:rPr>
          <w:rStyle w:val="NormalTok"/>
        </w:rPr>
        <w:t xml:space="preserve"> </w:t>
      </w:r>
      <w:r>
        <w:rPr>
          <w:rStyle w:val="VariableTok"/>
        </w:rPr>
        <w:t xml:space="preserve">$true</w:t>
      </w:r>
      <w:r>
        <w:br/>
      </w:r>
      <w:r>
        <w:rPr>
          <w:rStyle w:val="NormalTok"/>
        </w:rPr>
        <w:t xml:space="preserve">    osValidOperatingSystemBuildRanges </w:t>
      </w:r>
      <w:r>
        <w:rPr>
          <w:rStyle w:val="OperatorTok"/>
        </w:rPr>
        <w:t xml:space="preserve">=</w:t>
      </w:r>
      <w:r>
        <w:rPr>
          <w:rStyle w:val="NormalTok"/>
        </w:rPr>
        <w:t xml:space="preserve"> @</w:t>
      </w:r>
      <w:r>
        <w:br/>
      </w:r>
      <w:r>
        <w:rPr>
          <w:rStyle w:val="NormalTok"/>
        </w:rPr>
        <w:t xml:space="preserve">    deviceThreatProtectionEnabled </w:t>
      </w:r>
      <w:r>
        <w:rPr>
          <w:rStyle w:val="OperatorTok"/>
        </w:rPr>
        <w:t xml:space="preserve">=</w:t>
      </w:r>
      <w:r>
        <w:rPr>
          <w:rStyle w:val="NormalTok"/>
        </w:rPr>
        <w:t xml:space="preserve"> </w:t>
      </w:r>
      <w:r>
        <w:rPr>
          <w:rStyle w:val="VariableTok"/>
        </w:rPr>
        <w:t xml:space="preserve">$true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'medium'</w:t>
      </w:r>
      <w:r>
        <w:br/>
      </w:r>
      <w:r>
        <w:rPr>
          <w:rStyle w:val="NormalTok"/>
        </w:rPr>
        <w:t xml:space="preserve">    configurationManagerComplianceRequired </w:t>
      </w:r>
      <w:r>
        <w:rPr>
          <w:rStyle w:val="OperatorTok"/>
        </w:rPr>
        <w:t xml:space="preserve">=</w:t>
      </w:r>
      <w:r>
        <w:rPr>
          <w:rStyle w:val="NormalTok"/>
        </w:rPr>
        <w:t xml:space="preserve"> </w:t>
      </w:r>
      <w:r>
        <w:rPr>
          <w:rStyle w:val="VariableTok"/>
        </w:rPr>
        <w:t xml:space="preserve">$false</w:t>
      </w:r>
      <w:r>
        <w:br/>
      </w:r>
      <w:r>
        <w:rPr>
          <w:rStyle w:val="NormalTok"/>
        </w:rPr>
        <w:t xml:space="preserve">    tpmRequired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mmentTok"/>
        </w:rPr>
        <w:t xml:space="preserve"># Patch currency: populate with the build range required as of the currency deadline</w:t>
      </w:r>
      <w:r>
        <w:br/>
      </w:r>
      <w:r>
        <w:rPr>
          <w:rStyle w:val="NormalTok"/>
        </w:rPr>
        <w:t xml:space="preserve">    </w:t>
      </w:r>
      <w:r>
        <w:rPr>
          <w:rStyle w:val="CommentTok"/>
        </w:rPr>
        <w:t xml:space="preserve"># (empty = enforces nothing; refresh monthly to the current baseline build)</w:t>
      </w:r>
      <w:r>
        <w:br/>
      </w:r>
      <w:r>
        <w:rPr>
          <w:rStyle w:val="NormalTok"/>
        </w:rPr>
        <w:t xml:space="preserve">    validOperatingSystemBuildRanges </w:t>
      </w:r>
      <w:r>
        <w:rPr>
          <w:rStyle w:val="OperatorTok"/>
        </w:rPr>
        <w:t xml:space="preserve">=</w:t>
      </w:r>
      <w:r>
        <w:rPr>
          <w:rStyle w:val="NormalTok"/>
        </w:rPr>
        <w:t xml:space="preserve"> @</w:t>
      </w:r>
      <w:r>
        <w:br/>
      </w:r>
      <w:r>
        <w:rPr>
          <w:rStyle w:val="NormalTok"/>
        </w:rPr>
        <w:t xml:space="preserve">    storageRequireEncryption </w:t>
      </w:r>
      <w:r>
        <w:rPr>
          <w:rStyle w:val="OperatorTok"/>
        </w:rPr>
        <w:t xml:space="preserve">=</w:t>
      </w:r>
      <w:r>
        <w:rPr>
          <w:rStyle w:val="NormalTok"/>
        </w:rPr>
        <w:t xml:space="preserve"> </w:t>
      </w:r>
      <w:r>
        <w:rPr>
          <w:rStyle w:val="VariableTok"/>
        </w:rPr>
        <w:t xml:space="preserve">$false</w:t>
      </w:r>
      <w:r>
        <w:br/>
      </w:r>
      <w:r>
        <w:rPr>
          <w:rStyle w:val="NormalTok"/>
        </w:rPr>
        <w:t xml:space="preserve">    activeFirewallRequired </w:t>
      </w:r>
      <w:r>
        <w:rPr>
          <w:rStyle w:val="OperatorTok"/>
        </w:rPr>
        <w:t xml:space="preserve">=</w:t>
      </w:r>
      <w:r>
        <w:rPr>
          <w:rStyle w:val="NormalTok"/>
        </w:rPr>
        <w:t xml:space="preserve"> </w:t>
      </w:r>
      <w:r>
        <w:rPr>
          <w:rStyle w:val="VariableTok"/>
        </w:rPr>
        <w:t xml:space="preserve">$true</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rPr>
          <w:rStyle w:val="NormalTok"/>
        </w:rPr>
        <w:t xml:space="preserve">    defenderVersion </w:t>
      </w:r>
      <w:r>
        <w:rPr>
          <w:rStyle w:val="OperatorTok"/>
        </w:rPr>
        <w:t xml:space="preserve">=</w:t>
      </w:r>
      <w:r>
        <w:rPr>
          <w:rStyle w:val="NormalTok"/>
        </w:rPr>
        <w:t xml:space="preserve"> </w:t>
      </w:r>
      <w:r>
        <w:rPr>
          <w:rStyle w:val="StringTok"/>
        </w:rPr>
        <w:t xml:space="preserve">''</w:t>
      </w:r>
      <w:r>
        <w:br/>
      </w:r>
      <w:r>
        <w:rPr>
          <w:rStyle w:val="NormalTok"/>
        </w:rPr>
        <w:t xml:space="preserve">    signatureOutOfDate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Defender signatures</w:t>
      </w:r>
      <w:r>
        <w:br/>
      </w:r>
      <w:r>
        <w:rPr>
          <w:rStyle w:val="NormalTok"/>
        </w:rPr>
        <w:t xml:space="preserve">    rtpEnabled </w:t>
      </w:r>
      <w:r>
        <w:rPr>
          <w:rStyle w:val="OperatorTok"/>
        </w:rPr>
        <w:t xml:space="preserve">=</w:t>
      </w:r>
      <w:r>
        <w:rPr>
          <w:rStyle w:val="NormalTok"/>
        </w:rPr>
        <w:t xml:space="preserve"> </w:t>
      </w:r>
      <w:r>
        <w:rPr>
          <w:rStyle w:val="VariableTok"/>
        </w:rPr>
        <w:t xml:space="preserve">$true</w:t>
      </w:r>
      <w:r>
        <w:rPr>
          <w:rStyle w:val="NormalTok"/>
        </w:rPr>
        <w:t xml:space="preserve">              </w:t>
      </w:r>
      <w:r>
        <w:rPr>
          <w:rStyle w:val="CommentTok"/>
        </w:rPr>
        <w:t xml:space="preserve"># Real-time protection required</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bitLockerEnabled </w:t>
      </w:r>
      <w:r>
        <w:rPr>
          <w:rStyle w:val="OperatorTok"/>
        </w:rPr>
        <w:t xml:space="preserve">=</w:t>
      </w:r>
      <w:r>
        <w:rPr>
          <w:rStyle w:val="NormalTok"/>
        </w:rPr>
        <w:t xml:space="preserve"> </w:t>
      </w:r>
      <w:r>
        <w:rPr>
          <w:rStyle w:val="VariableTok"/>
        </w:rPr>
        <w:t xml:space="preserve">$false</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rPr>
          <w:rStyle w:val="NormalTok"/>
        </w:rPr>
        <w:t xml:space="preserve">    codeIntegrityEnabled </w:t>
      </w:r>
      <w:r>
        <w:rPr>
          <w:rStyle w:val="OperatorTok"/>
        </w:rPr>
        <w:t xml:space="preserve">=</w:t>
      </w:r>
      <w:r>
        <w:rPr>
          <w:rStyle w:val="NormalTok"/>
        </w:rPr>
        <w:t xml:space="preserve"> </w:t>
      </w:r>
      <w:r>
        <w:rPr>
          <w:rStyle w:val="VariableTok"/>
        </w:rPr>
        <w:t xml:space="preserve">$false</w:t>
      </w:r>
      <w:r>
        <w:br/>
      </w:r>
      <w:r>
        <w:rPr>
          <w:rStyle w:val="NormalTok"/>
        </w:rPr>
        <w:t xml:space="preserve">    validOperatingSystemBuildRangesAsStrings </w:t>
      </w:r>
      <w:r>
        <w:rPr>
          <w:rStyle w:val="OperatorTok"/>
        </w:rPr>
        <w:t xml:space="preserve">=</w:t>
      </w:r>
      <w:r>
        <w:rPr>
          <w:rStyle w:val="NormalTok"/>
        </w:rPr>
        <w:t xml:space="preserve"> @</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$compUri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/deviceManagement/deviceCompliancePolicies"</w:t>
      </w:r>
      <w:r>
        <w:br/>
      </w:r>
      <w:r>
        <w:rPr>
          <w:rStyle w:val="VariableTok"/>
        </w:rPr>
        <w:t xml:space="preserve">$compResult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$compUri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$compliancePolicy</w:t>
      </w:r>
      <w:r>
        <w:br/>
      </w:r>
      <w:r>
        <w:br/>
      </w:r>
      <w:r>
        <w:rPr>
          <w:rStyle w:val="FunctionTok"/>
        </w:rPr>
        <w:t xml:space="preserve">Write-Host</w:t>
      </w:r>
      <w:r>
        <w:rPr>
          <w:rStyle w:val="NormalTok"/>
        </w:rPr>
        <w:t xml:space="preserve"> </w:t>
      </w:r>
      <w:r>
        <w:rPr>
          <w:rStyle w:val="StringTok"/>
        </w:rPr>
        <w:t xml:space="preserve">"Compliance policy created: </w:t>
      </w:r>
      <w:r>
        <w:rPr>
          <w:rStyle w:val="OperatorTok"/>
        </w:rPr>
        <w:t xml:space="preserve">$(</w:t>
      </w:r>
      <w:r>
        <w:rPr>
          <w:rStyle w:val="VariableTok"/>
        </w:rPr>
        <w:t xml:space="preserve">$compResult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$compResult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"Assign this policy to all managed device groups and link to a Conditional Access policy."</w:t>
      </w:r>
    </w:p>
    <w:p>
      <w:pPr>
        <w:pStyle w:val="FirstParagraph"/>
      </w:pPr>
      <w:r>
        <w:rPr>
          <w:b/>
          <w:bCs/>
        </w:rPr>
        <w:t xml:space="preserve">Grace Period Before Enforcement</w:t>
      </w:r>
      <w:r>
        <w:t xml:space="preserve"> </w:t>
      </w:r>
      <w:r>
        <w:t xml:space="preserve">— When deploying this compliance policy for the first time against a population with accumulated patch debt, set a 30-day grace period in Conditional Access before the non-compliance block takes effect. Use the first 30 days to remediate the backlog. Immediately blocking access on day one will generate helpdesk volume that obscures the machines that genuinely need emergency attention.</w:t>
      </w:r>
    </w:p>
    <w:p>
      <w:r>
        <w:pict>
          <v:rect style="width:0;height:1.5pt" o:hralign="center" o:hrstd="t" o:hr="t"/>
        </w:pict>
      </w:r>
    </w:p>
    <w:bookmarkEnd w:id="64"/>
    <w:bookmarkEnd w:id="65"/>
    <w:bookmarkStart w:id="68" w:name="remediation-beyond-windows"/>
    <w:p>
      <w:pPr>
        <w:pStyle w:val="Heading1"/>
      </w:pPr>
      <w:r>
        <w:t xml:space="preserve">Remediation Beyond Windows</w:t>
      </w:r>
    </w:p>
    <w:p>
      <w:pPr>
        <w:pStyle w:val="FirstParagraph"/>
      </w:pPr>
      <w:r>
        <w:t xml:space="preserve">The scanning half of this architecture is operating-system agnostic. Microsoft Defender Vulnerability Management covers Linux over the same Azure Monitor Agent channel it uses for Windows, so a Linux CVE flows through the identical CISA KEV cross-reference, the identical six-tier SLA table, and the identical daily compliance record described above. Detection, prioritization, and evidence do not change by operating system. What changes is the patch</w:t>
      </w:r>
      <w:r>
        <w:t xml:space="preserve"> </w:t>
      </w:r>
      <w:r>
        <w:rPr>
          <w:b/>
          <w:bCs/>
        </w:rPr>
        <w:t xml:space="preserve">delivery</w:t>
      </w:r>
      <w:r>
        <w:t xml:space="preserve"> </w:t>
      </w:r>
      <w:r>
        <w:t xml:space="preserve">mechanism — Windows Update for Business is Windows-only — so the remediation lane needs a non-Windows equivalent.</w:t>
      </w:r>
    </w:p>
    <w:bookmarkStart w:id="66" w:name="linux-patch-delivery"/>
    <w:p>
      <w:pPr>
        <w:pStyle w:val="Heading2"/>
      </w:pPr>
      <w:r>
        <w:t xml:space="preserve">Linux Patch Delivery</w:t>
      </w:r>
    </w:p>
    <w:p>
      <w:pPr>
        <w:pStyle w:val="FirstParagraph"/>
      </w:pPr>
      <w:r>
        <w:t xml:space="preserve">For Arc-enrolled Linux hosts,</w:t>
      </w:r>
      <w:r>
        <w:t xml:space="preserve"> </w:t>
      </w:r>
      <w:r>
        <w:rPr>
          <w:b/>
          <w:bCs/>
        </w:rPr>
        <w:t xml:space="preserve">Azure Update Manager</w:t>
      </w:r>
      <w:r>
        <w:t xml:space="preserve"> </w:t>
      </w:r>
      <w:r>
        <w:t xml:space="preserve">is the direct analogue to WUfB and rides the same Arc connection already established for scanning — no additional agent. It provides assessment and scheduled patching with maintenance windows across RHEL, Ubuntu, and SUSE, dynamic machine scoping by tag, and an on-demand patch run that serves as the Linux equivalent of the KEV expedited path. Where an agency already operates native package automation (</w:t>
      </w:r>
      <w:r>
        <w:rPr>
          <w:rStyle w:val="VerbatimChar"/>
        </w:rPr>
        <w:t xml:space="preserve">dnf-automatic</w:t>
      </w:r>
      <w:r>
        <w:t xml:space="preserve">,</w:t>
      </w:r>
      <w:r>
        <w:t xml:space="preserve"> </w:t>
      </w:r>
      <w:r>
        <w:rPr>
          <w:rStyle w:val="VerbatimChar"/>
        </w:rPr>
        <w:t xml:space="preserve">unattended-upgrades</w:t>
      </w:r>
      <w:r>
        <w:t xml:space="preserve">) or configuration management (Ansible, Red Hat Satellite, Ubuntu Landscape), those remain valid delivery mechanisms; Update Manager is the default because it inherits the same Arc inventory gate that governs the Windows estate.</w:t>
      </w:r>
    </w:p>
    <w:bookmarkEnd w:id="66"/>
    <w:bookmarkStart w:id="67" w:name="the-rest-of-the-estate"/>
    <w:p>
      <w:pPr>
        <w:pStyle w:val="Heading2"/>
      </w:pPr>
      <w:r>
        <w:t xml:space="preserve">The Rest of the Estate</w:t>
      </w:r>
    </w:p>
    <w:p>
      <w:pPr>
        <w:pStyle w:val="FirstParagraph"/>
      </w:pPr>
      <w:r>
        <w:t xml:space="preserve">The remediation program must account for surfaces that neither WUfB nor Update Manager reaches:</w:t>
      </w:r>
    </w:p>
    <w:p>
      <w:pPr>
        <w:pStyle w:val="Compact"/>
        <w:numPr>
          <w:ilvl w:val="0"/>
          <w:numId w:val="1010"/>
        </w:numPr>
      </w:pPr>
      <w:r>
        <w:rPr>
          <w:b/>
          <w:bCs/>
        </w:rPr>
        <w:t xml:space="preserve">macOS</w:t>
      </w:r>
      <w:r>
        <w:t xml:space="preserve"> </w:t>
      </w:r>
      <w:r>
        <w:t xml:space="preserve">— patched through Intune update policies with the MDE sensor providing the vulnerability signal.</w:t>
      </w:r>
    </w:p>
    <w:p>
      <w:pPr>
        <w:pStyle w:val="Compact"/>
        <w:numPr>
          <w:ilvl w:val="0"/>
          <w:numId w:val="1010"/>
        </w:numPr>
      </w:pPr>
      <w:r>
        <w:rPr>
          <w:b/>
          <w:bCs/>
        </w:rPr>
        <w:t xml:space="preserve">Network devices and appliances</w:t>
      </w:r>
      <w:r>
        <w:t xml:space="preserve"> </w:t>
      </w:r>
      <w:r>
        <w:t xml:space="preserve">— vendor-managed on their own firmware cadence, tracked separately from the host patch queue. These are frequently the single highest-risk KEV surface: edge VPN, firewall, and load-balancer CVEs dominate the exploited-in-the-wild entries in the KEV catalog, and they are outside every host-based patch tool.</w:t>
      </w:r>
    </w:p>
    <w:p>
      <w:pPr>
        <w:pStyle w:val="Compact"/>
        <w:numPr>
          <w:ilvl w:val="0"/>
          <w:numId w:val="1010"/>
        </w:numPr>
      </w:pPr>
      <w:r>
        <w:rPr>
          <w:b/>
          <w:bCs/>
        </w:rPr>
        <w:t xml:space="preserve">Container images</w:t>
      </w:r>
      <w:r>
        <w:t xml:space="preserve"> </w:t>
      </w:r>
      <w:r>
        <w:t xml:space="preserve">— remediated by scanning in the registry at build time and rebuilding, not by patching running hosts.</w:t>
      </w:r>
    </w:p>
    <w:p>
      <w:pPr>
        <w:pStyle w:val="Compact"/>
        <w:numPr>
          <w:ilvl w:val="0"/>
          <w:numId w:val="1010"/>
        </w:numPr>
      </w:pPr>
      <w:r>
        <w:rPr>
          <w:b/>
          <w:bCs/>
        </w:rPr>
        <w:t xml:space="preserve">Firmware and BIOS</w:t>
      </w:r>
      <w:r>
        <w:t xml:space="preserve"> </w:t>
      </w:r>
      <w:r>
        <w:t xml:space="preserve">— outside WUfB entirely; addressed through vendor tooling on its own cadence.</w:t>
      </w:r>
    </w:p>
    <w:p>
      <w:pPr>
        <w:pStyle w:val="FirstParagraph"/>
      </w:pPr>
      <w:r>
        <w:rPr>
          <w:b/>
          <w:bCs/>
        </w:rPr>
        <w:t xml:space="preserve">One mechanism, several delivery tools</w:t>
      </w:r>
      <w:r>
        <w:t xml:space="preserve"> </w:t>
      </w:r>
      <w:r>
        <w:t xml:space="preserve">— WUfB (Windows) and Azure Update Manager (Linux) are two delivery examples of a single mechanism: inventory-bound automated remediation on an SLA. The priority queue, the KEV cross-reference, and the machine-readable compliance record are constant across the operating-system surface. This is the point generalized in the</w:t>
      </w:r>
      <w:r>
        <w:t xml:space="preserve"> </w:t>
      </w:r>
      <w:r>
        <w:rPr>
          <w:i/>
          <w:iCs/>
        </w:rPr>
        <w:t xml:space="preserve">Mechanism, Not Product</w:t>
      </w:r>
      <w:r>
        <w:t xml:space="preserve"> </w:t>
      </w:r>
      <w:r>
        <w:t xml:space="preserve">section below — and generalized</w:t>
      </w:r>
      <w:r>
        <w:t xml:space="preserve"> </w:t>
      </w:r>
      <w:r>
        <w:rPr>
          <w:i/>
          <w:iCs/>
        </w:rPr>
        <w:t xml:space="preserve">across cloud platforms</w:t>
      </w:r>
      <w:r>
        <w:t xml:space="preserve"> </w:t>
      </w:r>
      <w:r>
        <w:t xml:space="preserve">(AWS Systems Manager, Oracle OS Management Hub/Ksplice, VMware vSphere Lifecycle Manager, Red Hat Satellite/Ansible) in the</w:t>
      </w:r>
      <w:r>
        <w:t xml:space="preserve"> </w:t>
      </w:r>
      <w:r>
        <w:rPr>
          <w:b/>
          <w:bCs/>
        </w:rPr>
        <w:t xml:space="preserve">Patch &amp; Systems Management</w:t>
      </w:r>
      <w:r>
        <w:t xml:space="preserve"> </w:t>
      </w:r>
      <w:r>
        <w:t xml:space="preserve">book, which defines the unified compliance record every stack emits. The network-device and appliance surface flagged above is closed by the</w:t>
      </w:r>
      <w:r>
        <w:t xml:space="preserve"> </w:t>
      </w:r>
      <w:r>
        <w:rPr>
          <w:b/>
          <w:bCs/>
        </w:rPr>
        <w:t xml:space="preserve">Network Enforcement Substrate</w:t>
      </w:r>
      <w:r>
        <w:t xml:space="preserve"> </w:t>
      </w:r>
      <w:r>
        <w:t xml:space="preserve">book, whose gear is accredited via NIAP/STIG/FIPS rather than FedRAMP.</w:t>
      </w:r>
    </w:p>
    <w:bookmarkEnd w:id="67"/>
    <w:bookmarkEnd w:id="68"/>
    <w:bookmarkStart w:id="72" w:name="sql-server-patching"/>
    <w:p>
      <w:pPr>
        <w:pStyle w:val="Heading1"/>
      </w:pPr>
      <w:r>
        <w:t xml:space="preserve">SQL Server Patching</w:t>
      </w:r>
    </w:p>
    <w:bookmarkStart w:id="69" w:name="sql-server-cumulative-update-lifecycle"/>
    <w:p>
      <w:pPr>
        <w:pStyle w:val="Heading2"/>
      </w:pPr>
      <w:r>
        <w:t xml:space="preserve">SQL Server Cumulative Update Lifecycle</w:t>
      </w:r>
    </w:p>
    <w:p>
      <w:pPr>
        <w:pStyle w:val="FirstParagraph"/>
      </w:pPr>
      <w:r>
        <w:t xml:space="preserve">SQL Server patching follows a different cadence than Windows patching. Microsoft releases Cumulative Updates (CUs) for each SQL Server version approximately every two months, with General Distribution Releases (GDRs) for critical security fixes released between CUs. The distinction matters for compliance: a GDR addresses only security vulnerabilities, while a CU addresses both security vulnerabilities and product bugs.</w:t>
      </w:r>
    </w:p>
    <w:p>
      <w:pPr>
        <w:pStyle w:val="BodyText"/>
      </w:pPr>
      <w:r>
        <w:t xml:space="preserve">For FedRAMP compliance, the relevant requirement is that SQL Server instances remain within the supported cumulative update range. Microsoft’s support policy requires that instances run the current or immediately preceding CU to receive support for issues discovered after that CU’s release. An instance running a CU that is two or more versions behind the current CU may have known security vulnerabilities that are fixed only in the current CU.</w:t>
      </w:r>
    </w:p>
    <w:p>
      <w:pPr>
        <w:pStyle w:val="BodyText"/>
      </w:pPr>
      <w:r>
        <w:t xml:space="preserve">The Microsoft SQL Server support lifecycle page (</w:t>
      </w:r>
      <w:r>
        <w:rPr>
          <w:rStyle w:val="VerbatimChar"/>
        </w:rPr>
        <w:t xml:space="preserve">https://learn.microsoft.com/en-us/sql/sql-server/end-of-support/sql-server-end-of-life-overview</w:t>
      </w:r>
      <w:r>
        <w:t xml:space="preserve">) defines the end-of-support dates for each version. SQL Server 2019 runs through its end-of-support date of January 8, 2030 (mainstream support ended February 2025; extended security updates are available via Arc enrollment) — see the CU map below. SQL Server 2022 mainstream support runs through January 2028.</w:t>
      </w:r>
    </w:p>
    <w:bookmarkEnd w:id="69"/>
    <w:bookmarkStart w:id="70" w:name="X8cf3e6a35923c002d2d8a59aaa7df926465215a"/>
    <w:p>
      <w:pPr>
        <w:pStyle w:val="Heading2"/>
      </w:pPr>
      <w:r>
        <w:t xml:space="preserve">Enumerating SQL Server Versions Across the Estate</w:t>
      </w:r>
    </w:p>
    <w:p>
      <w:pPr>
        <w:pStyle w:val="FirstParagraph"/>
      </w:pPr>
      <w:r>
        <w:t xml:space="preserve">The following script builds on the Vol II Book 02 SQL Server inventory to enumerate all SQL Server instances, their current version, the current available CU, and whether they are within support. It uses the Arc-enrolled machine list as the inventory source and queries each instance via</w:t>
      </w:r>
      <w:r>
        <w:t xml:space="preserve"> </w:t>
      </w:r>
      <w:r>
        <w:rPr>
          <w:rStyle w:val="VerbatimChar"/>
        </w:rPr>
        <w:t xml:space="preserve">sqlcmd</w:t>
      </w:r>
      <w:r>
        <w:t xml:space="preserve">.</w:t>
      </w:r>
    </w:p>
    <w:p>
      <w:pPr>
        <w:pStyle w:val="SourceCode"/>
      </w:pPr>
      <w:r>
        <w:rPr>
          <w:rStyle w:val="CommentTok"/>
        </w:rPr>
        <w:t xml:space="preserve"># Enumerate SQL Server versions across all Arc-enrolled machines</w:t>
      </w:r>
      <w:r>
        <w:br/>
      </w:r>
      <w:r>
        <w:rPr>
          <w:rStyle w:val="CommentTok"/>
        </w:rPr>
        <w:t xml:space="preserve"># Produces a CU-level inventory for compliance tracking</w:t>
      </w:r>
      <w:r>
        <w:br/>
      </w:r>
      <w:r>
        <w:rPr>
          <w:rStyle w:val="CommentTok"/>
        </w:rPr>
        <w:t xml:space="preserve"># Prerequisite: sqlcmd installed on management workstation, network access to SQL instances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".\sql-version-inventory.csv"</w:t>
      </w:r>
      <w:r>
        <w:rPr>
          <w:rStyle w:val="OperatorTok"/>
        </w:rPr>
        <w:t xml:space="preserve">,</w:t>
      </w:r>
      <w:r>
        <w:br/>
      </w:r>
      <w:r>
        <w:br/>
      </w:r>
      <w:r>
        <w:rPr>
          <w:rStyle w:val="NormalTok"/>
        </w:rPr>
        <w:t xml:space="preserve">    </w:t>
      </w:r>
      <w:r>
        <w:rPr>
          <w:rStyle w:val="OperatorTok"/>
        </w:rPr>
        <w:t xml:space="preserve">[</w:t>
      </w:r>
      <w:r>
        <w:rPr>
          <w:rStyle w:val="NormalTok"/>
        </w:rPr>
        <w:t xml:space="preserve">PSCredential</w:t>
      </w:r>
      <w:r>
        <w:rPr>
          <w:rStyle w:val="OperatorTok"/>
        </w:rPr>
        <w:t xml:space="preserve">]</w:t>
      </w:r>
      <w:r>
        <w:rPr>
          <w:rStyle w:val="VariableTok"/>
        </w:rPr>
        <w:t xml:space="preserve">$SqlCredential</w:t>
      </w:r>
      <w:r>
        <w:rPr>
          <w:rStyle w:val="NormalTok"/>
        </w:rPr>
        <w:t xml:space="preserve">   </w:t>
      </w:r>
      <w:r>
        <w:rPr>
          <w:rStyle w:val="CommentTok"/>
        </w:rPr>
        <w:t xml:space="preserve"># If using SQL auth; omit for Windows auth</w:t>
      </w:r>
      <w:r>
        <w:br/>
      </w:r>
      <w:r>
        <w:rPr>
          <w:rStyle w:val="OperatorTok"/>
        </w:rPr>
        <w:t xml:space="preserve">)</w:t>
      </w:r>
      <w:r>
        <w:br/>
      </w:r>
      <w:r>
        <w:br/>
      </w:r>
      <w:r>
        <w:rPr>
          <w:rStyle w:val="CommentTok"/>
        </w:rPr>
        <w:t xml:space="preserve"># Connect to Azure and retrieve Arc-enrolled SQL Server extensions</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VariableTok"/>
        </w:rPr>
        <w:t xml:space="preserve">$sqlExtFilter</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$ResourceGroupName</w:t>
      </w:r>
      <w:r>
        <w:rPr>
          <w:rStyle w:val="OperatorTok"/>
        </w:rPr>
        <w:t xml:space="preserv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$sqlExtFilter</w:t>
      </w:r>
      <w:r>
        <w:rPr>
          <w:rStyle w:val="OperatorTok"/>
        </w:rPr>
        <w:t xml:space="preserve">.</w:t>
      </w:r>
      <w:r>
        <w:rPr>
          <w:rStyle w:val="FunctionTok"/>
        </w:rPr>
        <w:t xml:space="preserve">Count</w:t>
      </w:r>
      <w:r>
        <w:rPr>
          <w:rStyle w:val="OperatorTok"/>
        </w:rPr>
        <w:t xml:space="preserve">)</w:t>
      </w:r>
      <w:r>
        <w:rPr>
          <w:rStyle w:val="StringTok"/>
        </w:rPr>
        <w:t xml:space="preserve"> machines with SQL Server Arc extension"</w:t>
      </w:r>
      <w:r>
        <w:br/>
      </w:r>
      <w:r>
        <w:br/>
      </w:r>
      <w:r>
        <w:rPr>
          <w:rStyle w:val="CommentTok"/>
        </w:rPr>
        <w:t xml:space="preserve"># Current CU baselines (update quarterly as new CUs release)</w:t>
      </w:r>
      <w:r>
        <w:br/>
      </w:r>
      <w:r>
        <w:rPr>
          <w:rStyle w:val="CommentTok"/>
        </w:rPr>
        <w:t xml:space="preserve"># Source: https://learn.microsoft.com/en-us/sql/sql-server/latest-updates-for-microsoft-sql-server</w:t>
      </w:r>
      <w:r>
        <w:br/>
      </w:r>
      <w:r>
        <w:rPr>
          <w:rStyle w:val="VariableTok"/>
        </w:rPr>
        <w:t xml:space="preserve">$currentCuMap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'2022'</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'16.0'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'CU17'</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'16.0.4175.1'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'2033-01-11'</w:t>
      </w:r>
      <w:r>
        <w:rPr>
          <w:rStyle w:val="NormalTok"/>
        </w:rPr>
        <w:t xml:space="preserve"> </w:t>
      </w:r>
      <w:r>
        <w:rPr>
          <w:rStyle w:val="OperatorTok"/>
        </w:rPr>
        <w:t xml:space="preserve">}</w:t>
      </w:r>
      <w:r>
        <w:br/>
      </w:r>
      <w:r>
        <w:rPr>
          <w:rStyle w:val="NormalTok"/>
        </w:rPr>
        <w:t xml:space="preserve">    </w:t>
      </w:r>
      <w:r>
        <w:rPr>
          <w:rStyle w:val="StringTok"/>
        </w:rPr>
        <w:t xml:space="preserve">'2019'</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'15.0'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'CU29'</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'15.0.4415.2'</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'2030-01-08'</w:t>
      </w:r>
      <w:r>
        <w:rPr>
          <w:rStyle w:val="NormalTok"/>
        </w:rPr>
        <w:t xml:space="preserve"> </w:t>
      </w:r>
      <w:r>
        <w:rPr>
          <w:rStyle w:val="OperatorTok"/>
        </w:rPr>
        <w:t xml:space="preserve">}</w:t>
      </w:r>
      <w:r>
        <w:br/>
      </w:r>
      <w:r>
        <w:rPr>
          <w:rStyle w:val="NormalTok"/>
        </w:rPr>
        <w:t xml:space="preserve">    </w:t>
      </w:r>
      <w:r>
        <w:rPr>
          <w:rStyle w:val="StringTok"/>
        </w:rPr>
        <w:t xml:space="preserve">'2017'</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'14.0'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'CU31'</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'14.0.3465.1'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'2027-10-12'</w:t>
      </w:r>
      <w:r>
        <w:rPr>
          <w:rStyle w:val="NormalTok"/>
        </w:rPr>
        <w:t xml:space="preserve"> </w:t>
      </w:r>
      <w:r>
        <w:rPr>
          <w:rStyle w:val="OperatorTok"/>
        </w:rPr>
        <w:t xml:space="preserve">}</w:t>
      </w:r>
      <w:r>
        <w:br/>
      </w:r>
      <w:r>
        <w:rPr>
          <w:rStyle w:val="NormalTok"/>
        </w:rPr>
        <w:t xml:space="preserve">    </w:t>
      </w:r>
      <w:r>
        <w:rPr>
          <w:rStyle w:val="StringTok"/>
        </w:rPr>
        <w:t xml:space="preserve">'2016'</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'13.0'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'13.0.6441.1'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'2026-07-14'</w:t>
      </w:r>
      <w:r>
        <w:rPr>
          <w:rStyle w:val="NormalTok"/>
        </w:rPr>
        <w:t xml:space="preserve"> </w:t>
      </w:r>
      <w:r>
        <w:rPr>
          <w:rStyle w:val="OperatorTok"/>
        </w:rPr>
        <w:t xml:space="preserve">}</w:t>
      </w:r>
      <w:r>
        <w:br/>
      </w:r>
      <w:r>
        <w:rPr>
          <w:rStyle w:val="NormalTok"/>
        </w:rPr>
        <w:t xml:space="preserve">    </w:t>
      </w:r>
      <w:r>
        <w:rPr>
          <w:rStyle w:val="StringTok"/>
        </w:rPr>
        <w:t xml:space="preserve">'2014'</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'12.0'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 CU4+GDR'</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'12.0.6449.1'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'2024-07-09'</w:t>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$ext</w:t>
      </w:r>
      <w:r>
        <w:rPr>
          <w:rStyle w:val="NormalTok"/>
        </w:rPr>
        <w:t xml:space="preserve"> </w:t>
      </w:r>
      <w:r>
        <w:rPr>
          <w:rStyle w:val="KeywordTok"/>
        </w:rPr>
        <w:t xml:space="preserve">in</w:t>
      </w:r>
      <w:r>
        <w:rPr>
          <w:rStyle w:val="NormalTok"/>
        </w:rPr>
        <w:t xml:space="preserve"> </w:t>
      </w:r>
      <w:r>
        <w:rPr>
          <w:rStyle w:val="VariableTok"/>
        </w:rPr>
        <w:t xml:space="preserve">$sqlExtFilter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$machineName</w:t>
      </w:r>
      <w:r>
        <w:rPr>
          <w:rStyle w:val="NormalTok"/>
        </w:rPr>
        <w:t xml:space="preserve"> </w:t>
      </w:r>
      <w:r>
        <w:rPr>
          <w:rStyle w:val="OperatorTok"/>
        </w:rPr>
        <w:t xml:space="preserve">=</w:t>
      </w:r>
      <w:r>
        <w:rPr>
          <w:rStyle w:val="NormalTok"/>
        </w:rPr>
        <w:t xml:space="preserve"> </w:t>
      </w:r>
      <w:r>
        <w:rPr>
          <w:rStyle w:val="VariableTok"/>
        </w:rPr>
        <w:t xml:space="preserve">$ext</w:t>
      </w:r>
      <w:r>
        <w:rPr>
          <w:rStyle w:val="OperatorTok"/>
        </w:rPr>
        <w:t xml:space="preserve">.</w:t>
      </w:r>
      <w:r>
        <w:rPr>
          <w:rStyle w:val="FunctionTok"/>
        </w:rPr>
        <w:t xml:space="preserve">MachineName</w:t>
      </w:r>
      <w:r>
        <w:br/>
      </w:r>
      <w:r>
        <w:br/>
      </w:r>
      <w:r>
        <w:rPr>
          <w:rStyle w:val="NormalTok"/>
        </w:rPr>
        <w:t xml:space="preserve">    </w:t>
      </w:r>
      <w:r>
        <w:rPr>
          <w:rStyle w:val="CommentTok"/>
        </w:rPr>
        <w:t xml:space="preserve"># Query SQL Server version via sqlcmd (Windows auth to Arc-enrolled machine)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"SET NOCOUNT ON; SELECT @@SERVERNAME AS ServerName, @@VERSION AS FullVersion, SERVERPROPERTY('ProductVersion') AS ProductVersion, SERVERPROPERTY('ProductLevel') AS ProductLevel, SERVERPROPERTY('ProductUpdateLevel') AS CULevel, SERVERPROPERTY('Edition') AS Edition;"</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$SqlCredential</w:t>
      </w:r>
      <w:r>
        <w:rPr>
          <w:rStyle w:val="OperatorTok"/>
        </w:rPr>
        <w:t xml:space="preserv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U </w:t>
      </w:r>
      <w:r>
        <w:rPr>
          <w:rStyle w:val="VariableTok"/>
        </w:rPr>
        <w:t xml:space="preserve">$SqlCredential</w:t>
      </w:r>
      <w:r>
        <w:rPr>
          <w:rStyle w:val="OperatorTok"/>
        </w:rPr>
        <w:t xml:space="preserve">.</w:t>
      </w:r>
      <w:r>
        <w:rPr>
          <w:rStyle w:val="FunctionTok"/>
        </w:rPr>
        <w:t xml:space="preserve">UserName</w:t>
      </w:r>
      <w:r>
        <w:rPr>
          <w:rStyle w:val="NormalTok"/>
        </w:rPr>
        <w:t xml:space="preserve"> </w:t>
      </w:r>
      <w:r>
        <w:rPr>
          <w:rStyle w:val="OperatorTok"/>
        </w:rPr>
        <w:t xml:space="preserve">-</w:t>
      </w:r>
      <w:r>
        <w:rPr>
          <w:rStyle w:val="NormalTok"/>
        </w:rPr>
        <w:t xml:space="preserve">P </w:t>
      </w:r>
      <w:r>
        <w:rPr>
          <w:rStyle w:val="OperatorTok"/>
        </w:rPr>
        <w:t xml:space="preserve">(</w:t>
      </w:r>
      <w:r>
        <w:rPr>
          <w:rStyle w:val="VariableTok"/>
        </w:rPr>
        <w:t xml:space="preserve">$SqlCredential</w:t>
      </w:r>
      <w:r>
        <w:rPr>
          <w:rStyle w:val="OperatorTok"/>
        </w:rPr>
        <w:t xml:space="preserve">.</w:t>
      </w:r>
      <w:r>
        <w:rPr>
          <w:rStyle w:val="FunctionTok"/>
        </w:rPr>
        <w:t xml:space="preserve">GetNetworkCredential</w:t>
      </w:r>
      <w:r>
        <w:rPr>
          <w:rStyle w:val="OperatorTok"/>
        </w:rPr>
        <w:t xml:space="preserve">.</w:t>
      </w:r>
      <w:r>
        <w:rPr>
          <w:rStyle w:val="FunctionTok"/>
        </w:rPr>
        <w:t xml:space="preserve">Password</w:t>
      </w:r>
      <w:r>
        <w:rPr>
          <w:rStyle w:val="OperatorTok"/>
        </w:rPr>
        <w:t xml:space="preserve">)</w:t>
      </w:r>
      <w:r>
        <w:rPr>
          <w:rStyle w:val="NormalTok"/>
        </w:rPr>
        <w:t xml:space="preserv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$result</w:t>
      </w:r>
      <w:r>
        <w:rPr>
          <w:rStyle w:val="NormalTok"/>
        </w:rPr>
        <w:t xml:space="preserve"> </w:t>
      </w:r>
      <w:r>
        <w:rPr>
          <w:rStyle w:val="OperatorTok"/>
        </w:rPr>
        <w:t xml:space="preserve">-and</w:t>
      </w:r>
      <w:r>
        <w:rPr>
          <w:rStyle w:val="NormalTok"/>
        </w:rPr>
        <w:t xml:space="preserve"> </w:t>
      </w:r>
      <w:r>
        <w:rPr>
          <w:rStyle w:val="VariableTok"/>
        </w:rPr>
        <w:t xml:space="preserve">$result</w:t>
      </w:r>
      <w:r>
        <w:rPr>
          <w:rStyle w:val="OperatorTok"/>
        </w:rPr>
        <w:t xml:space="preserve">.</w:t>
      </w:r>
      <w:r>
        <w:rPr>
          <w:rStyle w:val="FunctionTok"/>
        </w:rPr>
        <w:t xml:space="preserve">Count</w:t>
      </w:r>
      <w:r>
        <w:rPr>
          <w:rStyle w:val="NormalTok"/>
        </w:rPr>
        <w:t xml:space="preserve"> </w:t>
      </w:r>
      <w:r>
        <w:rPr>
          <w:rStyle w:val="OperatorTok"/>
        </w:rPr>
        <w:t xml:space="preserve">-ge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$cols</w:t>
      </w:r>
      <w:r>
        <w:rPr>
          <w:rStyle w:val="NormalTok"/>
        </w:rPr>
        <w:t xml:space="preserve">          </w:t>
      </w:r>
      <w:r>
        <w:rPr>
          <w:rStyle w:val="OperatorTok"/>
        </w:rPr>
        <w:t xml:space="preserve">=</w:t>
      </w:r>
      <w:r>
        <w:rPr>
          <w:rStyle w:val="NormalTok"/>
        </w:rPr>
        <w:t xml:space="preserve"> </w:t>
      </w:r>
      <w:r>
        <w:rPr>
          <w:rStyle w:val="VariableTok"/>
        </w:rPr>
        <w:t xml:space="preserve">$result</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-split</w:t>
      </w:r>
      <w:r>
        <w:rPr>
          <w:rStyle w:val="NormalTok"/>
        </w:rPr>
        <w:t xml:space="preserve"> </w:t>
      </w:r>
      <w:r>
        <w:rPr>
          <w:rStyle w:val="StringTok"/>
        </w:rPr>
        <w:t xml:space="preserve">'\|'</w:t>
      </w:r>
      <w:r>
        <w:br/>
      </w:r>
      <w:r>
        <w:rPr>
          <w:rStyle w:val="NormalTok"/>
        </w:rPr>
        <w:t xml:space="preserve">            </w:t>
      </w:r>
      <w:r>
        <w:rPr>
          <w:rStyle w:val="VariableTok"/>
        </w:rPr>
        <w:t xml:space="preserve">$productVersion</w:t>
      </w:r>
      <w:r>
        <w:rPr>
          <w:rStyle w:val="NormalTok"/>
        </w:rPr>
        <w:t xml:space="preserv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2</w:t>
      </w:r>
      <w:r>
        <w:rPr>
          <w:rStyle w:val="OperatorTok"/>
        </w:rPr>
        <w:t xml:space="preserve">].</w:t>
      </w:r>
      <w:r>
        <w:rPr>
          <w:rStyle w:val="FunctionTok"/>
        </w:rPr>
        <w:t xml:space="preserve">Trim</w:t>
      </w:r>
      <w:r>
        <w:br/>
      </w:r>
      <w:r>
        <w:rPr>
          <w:rStyle w:val="NormalTok"/>
        </w:rPr>
        <w:t xml:space="preserve">            </w:t>
      </w:r>
      <w:r>
        <w:rPr>
          <w:rStyle w:val="VariableTok"/>
        </w:rPr>
        <w:t xml:space="preserve">$versionParts</w:t>
      </w:r>
      <w:r>
        <w:rPr>
          <w:rStyle w:val="NormalTok"/>
        </w:rPr>
        <w:t xml:space="preserve">  </w:t>
      </w:r>
      <w:r>
        <w:rPr>
          <w:rStyle w:val="OperatorTok"/>
        </w:rPr>
        <w:t xml:space="preserve">=</w:t>
      </w:r>
      <w:r>
        <w:rPr>
          <w:rStyle w:val="NormalTok"/>
        </w:rPr>
        <w:t xml:space="preserve"> </w:t>
      </w:r>
      <w:r>
        <w:rPr>
          <w:rStyle w:val="VariableTok"/>
        </w:rPr>
        <w:t xml:space="preserve">$productVersion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VariableTok"/>
        </w:rPr>
        <w:t xml:space="preserve">$majorVersion</w:t>
      </w:r>
      <w:r>
        <w:rPr>
          <w:rStyle w:val="NormalTok"/>
        </w:rPr>
        <w:t xml:space="preserve">  </w:t>
      </w:r>
      <w:r>
        <w:rPr>
          <w:rStyle w:val="OperatorTok"/>
        </w:rPr>
        <w:t xml:space="preserve">=</w:t>
      </w:r>
      <w:r>
        <w:rPr>
          <w:rStyle w:val="NormalTok"/>
        </w:rPr>
        <w:t xml:space="preserve"> </w:t>
      </w:r>
      <w:r>
        <w:rPr>
          <w:rStyle w:val="VariableTok"/>
        </w:rPr>
        <w:t xml:space="preserve">$versionParts</w:t>
      </w:r>
      <w:r>
        <w:rPr>
          <w:rStyle w:val="OperatorTok"/>
        </w:rPr>
        <w:t xml:space="preserve">[</w:t>
      </w:r>
      <w:r>
        <w:rPr>
          <w:rStyle w:val="DecValTok"/>
        </w:rPr>
        <w:t xml:space="preserve">0</w:t>
      </w:r>
      <w:r>
        <w:rPr>
          <w:rStyle w:val="OperatorTok"/>
        </w:rPr>
        <w:t xml:space="preserve">]</w:t>
      </w:r>
      <w:r>
        <w:br/>
      </w:r>
      <w:r>
        <w:br/>
      </w:r>
      <w:r>
        <w:rPr>
          <w:rStyle w:val="NormalTok"/>
        </w:rPr>
        <w:t xml:space="preserve">            </w:t>
      </w:r>
      <w:r>
        <w:rPr>
          <w:rStyle w:val="CommentTok"/>
        </w:rPr>
        <w:t xml:space="preserve"># Map major version number to SQL year</w:t>
      </w:r>
      <w:r>
        <w:br/>
      </w:r>
      <w:r>
        <w:rPr>
          <w:rStyle w:val="NormalTok"/>
        </w:rPr>
        <w:t xml:space="preserve">            </w:t>
      </w:r>
      <w:r>
        <w:rPr>
          <w:rStyle w:val="VariableTok"/>
        </w:rPr>
        <w:t xml:space="preserve">$sqlYear</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$majorVersion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'16'</w:t>
      </w:r>
      <w:r>
        <w:rPr>
          <w:rStyle w:val="NormalTok"/>
        </w:rPr>
        <w:t xml:space="preserve"> </w:t>
      </w:r>
      <w:r>
        <w:rPr>
          <w:rStyle w:val="OperatorTok"/>
        </w:rPr>
        <w:t xml:space="preserve">{</w:t>
      </w:r>
      <w:r>
        <w:rPr>
          <w:rStyle w:val="NormalTok"/>
        </w:rPr>
        <w:t xml:space="preserve"> </w:t>
      </w:r>
      <w:r>
        <w:rPr>
          <w:rStyle w:val="StringTok"/>
        </w:rPr>
        <w:t xml:space="preserve">'2022'</w:t>
      </w:r>
      <w:r>
        <w:rPr>
          <w:rStyle w:val="NormalTok"/>
        </w:rPr>
        <w:t xml:space="preserve"> </w:t>
      </w:r>
      <w:r>
        <w:rPr>
          <w:rStyle w:val="OperatorTok"/>
        </w:rPr>
        <w:t xml:space="preserve">}</w:t>
      </w:r>
      <w:r>
        <w:br/>
      </w:r>
      <w:r>
        <w:rPr>
          <w:rStyle w:val="NormalTok"/>
        </w:rPr>
        <w:t xml:space="preserve">                </w:t>
      </w:r>
      <w:r>
        <w:rPr>
          <w:rStyle w:val="StringTok"/>
        </w:rPr>
        <w:t xml:space="preserve">'15'</w:t>
      </w:r>
      <w:r>
        <w:rPr>
          <w:rStyle w:val="NormalTok"/>
        </w:rPr>
        <w:t xml:space="preserve"> </w:t>
      </w:r>
      <w:r>
        <w:rPr>
          <w:rStyle w:val="OperatorTok"/>
        </w:rPr>
        <w:t xml:space="preserve">{</w:t>
      </w:r>
      <w:r>
        <w:rPr>
          <w:rStyle w:val="NormalTok"/>
        </w:rPr>
        <w:t xml:space="preserve"> </w:t>
      </w:r>
      <w:r>
        <w:rPr>
          <w:rStyle w:val="StringTok"/>
        </w:rPr>
        <w:t xml:space="preserve">'2019'</w:t>
      </w:r>
      <w:r>
        <w:rPr>
          <w:rStyle w:val="NormalTok"/>
        </w:rPr>
        <w:t xml:space="preserve"> </w:t>
      </w:r>
      <w:r>
        <w:rPr>
          <w:rStyle w:val="OperatorTok"/>
        </w:rPr>
        <w:t xml:space="preserve">}</w:t>
      </w:r>
      <w:r>
        <w:br/>
      </w:r>
      <w:r>
        <w:rPr>
          <w:rStyle w:val="NormalTok"/>
        </w:rPr>
        <w:t xml:space="preserve">                </w:t>
      </w:r>
      <w:r>
        <w:rPr>
          <w:rStyle w:val="StringTok"/>
        </w:rPr>
        <w:t xml:space="preserve">'14'</w:t>
      </w:r>
      <w:r>
        <w:rPr>
          <w:rStyle w:val="NormalTok"/>
        </w:rPr>
        <w:t xml:space="preserve"> </w:t>
      </w:r>
      <w:r>
        <w:rPr>
          <w:rStyle w:val="OperatorTok"/>
        </w:rPr>
        <w:t xml:space="preserve">{</w:t>
      </w:r>
      <w:r>
        <w:rPr>
          <w:rStyle w:val="NormalTok"/>
        </w:rPr>
        <w:t xml:space="preserve"> </w:t>
      </w:r>
      <w:r>
        <w:rPr>
          <w:rStyle w:val="StringTok"/>
        </w:rPr>
        <w:t xml:space="preserve">'2017'</w:t>
      </w:r>
      <w:r>
        <w:rPr>
          <w:rStyle w:val="NormalTok"/>
        </w:rPr>
        <w:t xml:space="preserve"> </w:t>
      </w:r>
      <w:r>
        <w:rPr>
          <w:rStyle w:val="OperatorTok"/>
        </w:rPr>
        <w:t xml:space="preserve">}</w:t>
      </w:r>
      <w:r>
        <w:br/>
      </w:r>
      <w:r>
        <w:rPr>
          <w:rStyle w:val="NormalTok"/>
        </w:rPr>
        <w:t xml:space="preserve">                </w:t>
      </w:r>
      <w:r>
        <w:rPr>
          <w:rStyle w:val="StringTok"/>
        </w:rPr>
        <w:t xml:space="preserve">'13'</w:t>
      </w:r>
      <w:r>
        <w:rPr>
          <w:rStyle w:val="NormalTok"/>
        </w:rPr>
        <w:t xml:space="preserve"> </w:t>
      </w:r>
      <w:r>
        <w:rPr>
          <w:rStyle w:val="OperatorTok"/>
        </w:rPr>
        <w:t xml:space="preserve">{</w:t>
      </w:r>
      <w:r>
        <w:rPr>
          <w:rStyle w:val="NormalTok"/>
        </w:rPr>
        <w:t xml:space="preserve"> </w:t>
      </w:r>
      <w:r>
        <w:rPr>
          <w:rStyle w:val="StringTok"/>
        </w:rPr>
        <w:t xml:space="preserve">'2016'</w:t>
      </w:r>
      <w:r>
        <w:rPr>
          <w:rStyle w:val="NormalTok"/>
        </w:rPr>
        <w:t xml:space="preserve"> </w:t>
      </w:r>
      <w:r>
        <w:rPr>
          <w:rStyle w:val="OperatorTok"/>
        </w:rPr>
        <w:t xml:space="preserve">}</w:t>
      </w:r>
      <w:r>
        <w:br/>
      </w:r>
      <w:r>
        <w:rPr>
          <w:rStyle w:val="NormalTok"/>
        </w:rPr>
        <w:t xml:space="preserve">                </w:t>
      </w:r>
      <w:r>
        <w:rPr>
          <w:rStyle w:val="StringTok"/>
        </w:rPr>
        <w:t xml:space="preserve">'12'</w:t>
      </w:r>
      <w:r>
        <w:rPr>
          <w:rStyle w:val="NormalTok"/>
        </w:rPr>
        <w:t xml:space="preserve"> </w:t>
      </w:r>
      <w:r>
        <w:rPr>
          <w:rStyle w:val="OperatorTok"/>
        </w:rPr>
        <w:t xml:space="preserve">{</w:t>
      </w:r>
      <w:r>
        <w:rPr>
          <w:rStyle w:val="NormalTok"/>
        </w:rPr>
        <w:t xml:space="preserve"> </w:t>
      </w:r>
      <w:r>
        <w:rPr>
          <w:rStyle w:val="StringTok"/>
        </w:rPr>
        <w:t xml:space="preserve">'2014'</w:t>
      </w:r>
      <w:r>
        <w:rPr>
          <w:rStyle w:val="NormalTok"/>
        </w:rPr>
        <w:t xml:space="preserve"> </w:t>
      </w:r>
      <w:r>
        <w:rPr>
          <w:rStyle w:val="OperatorTok"/>
        </w:rPr>
        <w:t xml:space="preserve">}</w:t>
      </w:r>
      <w:r>
        <w:br/>
      </w:r>
      <w:r>
        <w:rPr>
          <w:rStyle w:val="NormalTok"/>
        </w:rPr>
        <w:t xml:space="preserve">                </w:t>
      </w:r>
      <w:r>
        <w:rPr>
          <w:rStyle w:val="StringTok"/>
        </w:rPr>
        <w:t xml:space="preserve">'11'</w:t>
      </w:r>
      <w:r>
        <w:rPr>
          <w:rStyle w:val="NormalTok"/>
        </w:rPr>
        <w:t xml:space="preserve"> </w:t>
      </w:r>
      <w:r>
        <w:rPr>
          <w:rStyle w:val="OperatorTok"/>
        </w:rPr>
        <w:t xml:space="preserve">{</w:t>
      </w:r>
      <w:r>
        <w:rPr>
          <w:rStyle w:val="NormalTok"/>
        </w:rPr>
        <w:t xml:space="preserve"> </w:t>
      </w:r>
      <w:r>
        <w:rPr>
          <w:rStyle w:val="StringTok"/>
        </w:rPr>
        <w:t xml:space="preserve">'2012'</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$cuInfo</w:t>
      </w:r>
      <w:r>
        <w:rPr>
          <w:rStyle w:val="NormalTok"/>
        </w:rPr>
        <w:t xml:space="preserve"> </w:t>
      </w:r>
      <w:r>
        <w:rPr>
          <w:rStyle w:val="OperatorTok"/>
        </w:rPr>
        <w:t xml:space="preserve">=</w:t>
      </w:r>
      <w:r>
        <w:rPr>
          <w:rStyle w:val="NormalTok"/>
        </w:rPr>
        <w:t xml:space="preserve"> </w:t>
      </w:r>
      <w:r>
        <w:rPr>
          <w:rStyle w:val="VariableTok"/>
        </w:rPr>
        <w:t xml:space="preserve">$currentCuMap</w:t>
      </w:r>
      <w:r>
        <w:rPr>
          <w:rStyle w:val="OperatorTok"/>
        </w:rPr>
        <w:t xml:space="preserve">[</w:t>
      </w:r>
      <w:r>
        <w:rPr>
          <w:rStyle w:val="VariableTok"/>
        </w:rPr>
        <w:t xml:space="preserve">$sqlYear</w:t>
      </w:r>
      <w:r>
        <w:rPr>
          <w:rStyle w:val="OperatorTok"/>
        </w:rPr>
        <w:t xml:space="preserve">]</w:t>
      </w:r>
      <w:r>
        <w:br/>
      </w:r>
      <w:r>
        <w:rPr>
          <w:rStyle w:val="NormalTok"/>
        </w:rPr>
        <w:t xml:space="preserve">            </w:t>
      </w:r>
      <w:r>
        <w:rPr>
          <w:rStyle w:val="VariableTok"/>
        </w:rPr>
        <w:t xml:space="preserve">$isSupported</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br/>
      </w:r>
      <w:r>
        <w:rPr>
          <w:rStyle w:val="NormalTok"/>
        </w:rPr>
        <w:t xml:space="preserve">            </w:t>
      </w:r>
      <w:r>
        <w:rPr>
          <w:rStyle w:val="VariableTok"/>
        </w:rPr>
        <w:t xml:space="preserve">$currentBuildOk</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VariableTok"/>
        </w:rPr>
        <w:t xml:space="preserve">$productVersion</w:t>
      </w:r>
      <w:r>
        <w:rPr>
          <w:rStyle w:val="NormalTok"/>
        </w:rPr>
        <w:t xml:space="preserve"> </w:t>
      </w:r>
      <w:r>
        <w:rPr>
          <w:rStyle w:val="OperatorTok"/>
        </w:rPr>
        <w:t xml:space="preserve">-ge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0</w:t>
      </w:r>
      <w:r>
        <w:rPr>
          <w:rStyle w:val="OperatorTok"/>
        </w:rPr>
        <w:t xml:space="preserve">].</w:t>
      </w:r>
      <w:r>
        <w:rPr>
          <w:rStyle w:val="FunctionTok"/>
        </w:rPr>
        <w:t xml:space="preserve">Trim</w:t>
      </w:r>
      <w:r>
        <w:br/>
      </w:r>
      <w:r>
        <w:rPr>
          <w:rStyle w:val="NormalTok"/>
        </w:rPr>
        <w:t xml:space="preserve">                SQLYear          </w:t>
      </w:r>
      <w:r>
        <w:rPr>
          <w:rStyle w:val="OperatorTok"/>
        </w:rPr>
        <w:t xml:space="preserve">=</w:t>
      </w:r>
      <w:r>
        <w:rPr>
          <w:rStyle w:val="NormalTok"/>
        </w:rPr>
        <w:t xml:space="preserve"> </w:t>
      </w:r>
      <w:r>
        <w:rPr>
          <w:rStyle w:val="VariableTok"/>
        </w:rPr>
        <w:t xml:space="preserve">$sqlYear</w:t>
      </w:r>
      <w:r>
        <w:br/>
      </w:r>
      <w:r>
        <w:rPr>
          <w:rStyle w:val="NormalTok"/>
        </w:rPr>
        <w:t xml:space="preserve">                ProductVersion   </w:t>
      </w:r>
      <w:r>
        <w:rPr>
          <w:rStyle w:val="OperatorTok"/>
        </w:rPr>
        <w:t xml:space="preserve">=</w:t>
      </w:r>
      <w:r>
        <w:rPr>
          <w:rStyle w:val="NormalTok"/>
        </w:rPr>
        <w:t xml:space="preserve"> </w:t>
      </w:r>
      <w:r>
        <w:rPr>
          <w:rStyle w:val="VariableTok"/>
        </w:rPr>
        <w:t xml:space="preserve">$productVersion</w:t>
      </w:r>
      <w:r>
        <w:br/>
      </w:r>
      <w:r>
        <w:rPr>
          <w:rStyle w:val="NormalTok"/>
        </w:rPr>
        <w:t xml:space="preserve">                CurrentAvailCU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CurrentCU</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CurrentAvailBuild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AtCurrentCU      </w:t>
      </w:r>
      <w:r>
        <w:rPr>
          <w:rStyle w:val="OperatorTok"/>
        </w:rPr>
        <w:t xml:space="preserve">=</w:t>
      </w:r>
      <w:r>
        <w:rPr>
          <w:rStyle w:val="NormalTok"/>
        </w:rPr>
        <w:t xml:space="preserve"> </w:t>
      </w:r>
      <w:r>
        <w:rPr>
          <w:rStyle w:val="VariableTok"/>
        </w:rPr>
        <w:t xml:space="preserve">$currentBuildOk</w:t>
      </w:r>
      <w:r>
        <w:br/>
      </w:r>
      <w:r>
        <w:rPr>
          <w:rStyle w:val="NormalTok"/>
        </w:rPr>
        <w:t xml:space="preserve">                EOS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WithinSupport    </w:t>
      </w:r>
      <w:r>
        <w:rPr>
          <w:rStyle w:val="OperatorTok"/>
        </w:rPr>
        <w:t xml:space="preserve">=</w:t>
      </w:r>
      <w:r>
        <w:rPr>
          <w:rStyle w:val="NormalTok"/>
        </w:rPr>
        <w:t xml:space="preserve"> </w:t>
      </w:r>
      <w:r>
        <w:rPr>
          <w:rStyle w:val="VariableTok"/>
        </w:rPr>
        <w:t xml:space="preserve">$isSupported</w:t>
      </w:r>
      <w:r>
        <w:br/>
      </w:r>
      <w:r>
        <w:rPr>
          <w:rStyle w:val="NormalTok"/>
        </w:rPr>
        <w:t xml:space="preserve">                EOSBreached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$isSupported</w:t>
      </w:r>
      <w:r>
        <w:br/>
      </w:r>
      <w:r>
        <w:rPr>
          <w:rStyle w:val="NormalTok"/>
        </w:rPr>
        <w:t xml:space="preserve">                Edition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5</w:t>
      </w:r>
      <w:r>
        <w:rPr>
          <w:rStyle w:val="OperatorTok"/>
        </w:rPr>
        <w:t xml:space="preserve">].</w:t>
      </w:r>
      <w:r>
        <w:rPr>
          <w:rStyle w:val="FunctionTok"/>
        </w:rPr>
        <w:t xml:space="preserve">Trim</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'CONNECTION_FAILED'</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StringTok"/>
        </w:rPr>
        <w:t xml:space="preserve">'Unknown'</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'ERROR'</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Summary</w:t>
      </w:r>
      <w:r>
        <w:br/>
      </w:r>
      <w:r>
        <w:rPr>
          <w:rStyle w:val="VariableTok"/>
        </w:rPr>
        <w:t xml:space="preserve">$behindCU</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AtCurrentCU</w:t>
      </w:r>
      <w:r>
        <w:rPr>
          <w:rStyle w:val="NormalTok"/>
        </w:rPr>
        <w:t xml:space="preserve"> </w:t>
      </w:r>
      <w:r>
        <w:rPr>
          <w:rStyle w:val="OperatorTok"/>
        </w:rPr>
        <w:t xml:space="preserve">-eq</w:t>
      </w:r>
      <w:r>
        <w:rPr>
          <w:rStyle w:val="NormalTok"/>
        </w:rPr>
        <w:t xml:space="preserve"> </w:t>
      </w:r>
      <w:r>
        <w:rPr>
          <w:rStyle w:val="VariableTok"/>
        </w:rPr>
        <w:t xml:space="preserve">$false</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SQLYear</w:t>
      </w:r>
      <w:r>
        <w:rPr>
          <w:rStyle w:val="NormalTok"/>
        </w:rPr>
        <w:t xml:space="preserve"> </w:t>
      </w:r>
      <w:r>
        <w:rPr>
          <w:rStyle w:val="OperatorTok"/>
        </w:rPr>
        <w:t xml:space="preserve">-ne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EOSBreached </w:t>
      </w:r>
      <w:r>
        <w:rPr>
          <w:rStyle w:val="OperatorTok"/>
        </w:rPr>
        <w:t xml:space="preserve">-eq</w:t>
      </w:r>
      <w:r>
        <w:rPr>
          <w:rStyle w:val="NormalTok"/>
        </w:rPr>
        <w:t xml:space="preserve"> </w:t>
      </w:r>
      <w:r>
        <w:rPr>
          <w:rStyle w:val="VariableTok"/>
        </w:rPr>
        <w:t xml:space="preserve">$true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SQL Server Version Inventory ==="</w:t>
      </w:r>
      <w:r>
        <w:br/>
      </w:r>
      <w:r>
        <w:rPr>
          <w:rStyle w:val="FunctionTok"/>
        </w:rPr>
        <w:t xml:space="preserve">Write-Host</w:t>
      </w:r>
      <w:r>
        <w:rPr>
          <w:rStyle w:val="NormalTok"/>
        </w:rPr>
        <w:t xml:space="preserve"> </w:t>
      </w:r>
      <w:r>
        <w:rPr>
          <w:rStyle w:val="StringTok"/>
        </w:rPr>
        <w:t xml:space="preserve">"Total instances scanned:   </w:t>
      </w:r>
      <w:r>
        <w:rPr>
          <w:rStyle w:val="OperatorTok"/>
        </w:rPr>
        <w:t xml:space="preserve">$(</w:t>
      </w:r>
      <w:r>
        <w:rPr>
          <w:rStyle w:val="VariableTok"/>
        </w:rPr>
        <w:t xml:space="preserve">$inventory</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"Behind current CU:         </w:t>
      </w:r>
      <w:r>
        <w:rPr>
          <w:rStyle w:val="OperatorTok"/>
        </w:rPr>
        <w:t xml:space="preserve">$(</w:t>
      </w:r>
      <w:r>
        <w:rPr>
          <w:rStyle w:val="VariableTok"/>
        </w:rPr>
        <w:t xml:space="preserve">$behindCU</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"End-of-support breached: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instances are past end-of-support and require immediate upgrade planning:"</w:t>
      </w:r>
      <w:r>
        <w:br/>
      </w:r>
      <w:r>
        <w:rPr>
          <w:rStyle w:val="NormalTok"/>
        </w:rPr>
        <w:t xml:space="preserve">    </w:t>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 — SQL </w:t>
      </w:r>
      <w:r>
        <w:rPr>
          <w:rStyle w:val="OperatorTok"/>
        </w:rPr>
        <w:t xml:space="preserve">$(</w:t>
      </w:r>
      <w:r>
        <w:rPr>
          <w:rStyle w:val="VariableTok"/>
        </w:rPr>
        <w:t xml:space="preserve">$_</w:t>
      </w:r>
      <w:r>
        <w:rPr>
          <w:rStyle w:val="OperatorTok"/>
        </w:rPr>
        <w:t xml:space="preserve">.</w:t>
      </w:r>
      <w:r>
        <w:rPr>
          <w:rStyle w:val="FunctionTok"/>
        </w:rPr>
        <w:t xml:space="preserve">SQLYear</w:t>
      </w:r>
      <w:r>
        <w:rPr>
          <w:rStyle w:val="OperatorTok"/>
        </w:rPr>
        <w:t xml:space="preserve">)</w:t>
      </w:r>
      <w:r>
        <w:rPr>
          <w:rStyle w:val="StringTok"/>
        </w:rPr>
        <w:t xml:space="preserve"> (EOS: </w:t>
      </w:r>
      <w:r>
        <w:rPr>
          <w:rStyle w:val="OperatorTok"/>
        </w:rPr>
        <w:t xml:space="preserve">$(</w:t>
      </w:r>
      <w:r>
        <w:rPr>
          <w:rStyle w:val="VariableTok"/>
        </w:rPr>
        <w:t xml:space="preserve">$_</w:t>
      </w:r>
      <w:r>
        <w:rPr>
          <w:rStyle w:val="OperatorTok"/>
        </w:rPr>
        <w:t xml:space="preserve">.</w:t>
      </w:r>
      <w:r>
        <w:rPr>
          <w:rStyle w:val="FunctionTok"/>
        </w:rPr>
        <w:t xml:space="preserve">EOS</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"Inventory written to: </w:t>
      </w:r>
      <w:r>
        <w:rPr>
          <w:rStyle w:val="VariableTok"/>
        </w:rPr>
        <w:t xml:space="preserve">$OutputPath</w:t>
      </w:r>
      <w:r>
        <w:rPr>
          <w:rStyle w:val="StringTok"/>
        </w:rPr>
        <w:t xml:space="preserve">"</w:t>
      </w:r>
    </w:p>
    <w:bookmarkEnd w:id="70"/>
    <w:bookmarkStart w:id="71" w:name="Xaf7bf5cd1b945cc0d6afd9115dfed79e4a37875"/>
    <w:p>
      <w:pPr>
        <w:pStyle w:val="Heading2"/>
      </w:pPr>
      <w:r>
        <w:t xml:space="preserve">Deploying SQL Server Cumulative Updates via Arc Extension Management</w:t>
      </w:r>
    </w:p>
    <w:p>
      <w:pPr>
        <w:pStyle w:val="FirstParagraph"/>
      </w:pPr>
      <w:r>
        <w:t xml:space="preserve">SQL Server CUs can be deployed through Arc extension management using the Azure Connected Machine PowerShell module. The Arc SQL Server extension (</w:t>
      </w:r>
      <w:r>
        <w:rPr>
          <w:rStyle w:val="VerbatimChar"/>
        </w:rPr>
        <w:t xml:space="preserve">WindowsAgent.SqlServer</w:t>
      </w:r>
      <w:r>
        <w:t xml:space="preserve">) supports automatic patching configuration that applies CUs according to a defined maintenance window.</w:t>
      </w:r>
    </w:p>
    <w:p>
      <w:pPr>
        <w:pStyle w:val="SourceCode"/>
      </w:pPr>
      <w:r>
        <w:rPr>
          <w:rStyle w:val="CommentTok"/>
        </w:rPr>
        <w:t xml:space="preserve"># Enable automatic SQL Server CU patching via Arc extension</w:t>
      </w:r>
      <w:r>
        <w:br/>
      </w:r>
      <w:r>
        <w:rPr>
          <w:rStyle w:val="CommentTok"/>
        </w:rPr>
        <w:t xml:space="preserve"># This configures the Arc SQL extension to auto-apply CUs within a maintenance window</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CommentTok"/>
        </w:rPr>
        <w:t xml:space="preserve"># Maintenance window: day of week, start hour (UTC), duration in hours</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$MaintenanceDay</w:t>
      </w:r>
      <w:r>
        <w:rPr>
          <w:rStyle w:val="NormalTok"/>
        </w:rPr>
        <w:t xml:space="preserve">    </w:t>
      </w:r>
      <w:r>
        <w:rPr>
          <w:rStyle w:val="OperatorTok"/>
        </w:rPr>
        <w:t xml:space="preserve">=</w:t>
      </w:r>
      <w:r>
        <w:rPr>
          <w:rStyle w:val="NormalTok"/>
        </w:rPr>
        <w:t xml:space="preserve"> </w:t>
      </w:r>
      <w:r>
        <w:rPr>
          <w:rStyle w:val="StringTok"/>
        </w:rPr>
        <w:t xml:space="preserve">'Sunday'</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$MaintenanceStartHour</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02:00 UTC</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OperatorTok"/>
        </w:rPr>
        <w:t xml:space="preserve">)</w:t>
      </w:r>
      <w:r>
        <w:br/>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machines with the SQL Server Arc extension in the resource group</w:t>
      </w:r>
      <w:r>
        <w:br/>
      </w:r>
      <w:r>
        <w:rPr>
          <w:rStyle w:val="VariableTok"/>
        </w:rPr>
        <w:t xml:space="preserve">$sqlMachines</w:t>
      </w:r>
      <w:r>
        <w:rPr>
          <w:rStyle w:val="NormalTok"/>
        </w:rPr>
        <w:t xml:space="preserve"> </w:t>
      </w:r>
      <w:r>
        <w:rPr>
          <w:rStyle w:val="OperatorTok"/>
        </w:rPr>
        <w:t xml:space="preserve">=</w:t>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br/>
      </w:r>
      <w:r>
        <w:rPr>
          <w:rStyle w:val="ControlFlowTok"/>
        </w:rPr>
        <w:t xml:space="preserve">foreach</w:t>
      </w:r>
      <w:r>
        <w:rPr>
          <w:rStyle w:val="NormalTok"/>
        </w:rPr>
        <w:t xml:space="preserve"> </w:t>
      </w:r>
      <w:r>
        <w:rPr>
          <w:rStyle w:val="OperatorTok"/>
        </w:rPr>
        <w:t xml:space="preserve">(</w:t>
      </w:r>
      <w:r>
        <w:rPr>
          <w:rStyle w:val="VariableTok"/>
        </w:rPr>
        <w:t xml:space="preserve">$machine</w:t>
      </w:r>
      <w:r>
        <w:rPr>
          <w:rStyle w:val="NormalTok"/>
        </w:rPr>
        <w:t xml:space="preserve"> </w:t>
      </w:r>
      <w:r>
        <w:rPr>
          <w:rStyle w:val="KeywordTok"/>
        </w:rPr>
        <w:t xml:space="preserve">in</w:t>
      </w:r>
      <w:r>
        <w:rPr>
          <w:rStyle w:val="NormalTok"/>
        </w:rPr>
        <w:t xml:space="preserve"> </w:t>
      </w:r>
      <w:r>
        <w:rPr>
          <w:rStyle w:val="VariableTok"/>
        </w:rPr>
        <w:t xml:space="preserve">$sqlMachines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SqlManagement </w:t>
      </w:r>
      <w:r>
        <w:rPr>
          <w:rStyle w:val="OperatorTok"/>
        </w:rPr>
        <w:t xml:space="preserve">=</w:t>
      </w:r>
      <w:r>
        <w:rPr>
          <w:rStyle w:val="NormalTok"/>
        </w:rPr>
        <w:t xml:space="preserve"> @</w:t>
      </w:r>
      <w:r>
        <w:rPr>
          <w:rStyle w:val="OperatorTok"/>
        </w:rPr>
        <w:t xml:space="preserve">{</w:t>
      </w:r>
      <w:r>
        <w:br/>
      </w:r>
      <w:r>
        <w:rPr>
          <w:rStyle w:val="NormalTok"/>
        </w:rPr>
        <w:t xml:space="preserve">            enableAutoPatching  </w:t>
      </w:r>
      <w:r>
        <w:rPr>
          <w:rStyle w:val="OperatorTok"/>
        </w:rPr>
        <w:t xml:space="preserve">=</w:t>
      </w:r>
      <w:r>
        <w:rPr>
          <w:rStyle w:val="NormalTok"/>
        </w:rPr>
        <w:t xml:space="preserve"> </w:t>
      </w:r>
      <w:r>
        <w:rPr>
          <w:rStyle w:val="VariableTok"/>
        </w:rPr>
        <w:t xml:space="preserve">$true</w:t>
      </w:r>
      <w:r>
        <w:br/>
      </w:r>
      <w:r>
        <w:rPr>
          <w:rStyle w:val="NormalTok"/>
        </w:rPr>
        <w:t xml:space="preserve">            dayOfWeek           </w:t>
      </w:r>
      <w:r>
        <w:rPr>
          <w:rStyle w:val="OperatorTok"/>
        </w:rPr>
        <w:t xml:space="preserve">=</w:t>
      </w:r>
      <w:r>
        <w:rPr>
          <w:rStyle w:val="NormalTok"/>
        </w:rPr>
        <w:t xml:space="preserve"> </w:t>
      </w:r>
      <w:r>
        <w:rPr>
          <w:rStyle w:val="VariableTok"/>
        </w:rPr>
        <w:t xml:space="preserve">$MaintenanceDay</w:t>
      </w:r>
      <w:r>
        <w:br/>
      </w:r>
      <w:r>
        <w:rPr>
          <w:rStyle w:val="NormalTok"/>
        </w:rPr>
        <w:t xml:space="preserve">            maintenanceWindowStartingHour </w:t>
      </w:r>
      <w:r>
        <w:rPr>
          <w:rStyle w:val="OperatorTok"/>
        </w:rPr>
        <w:t xml:space="preserve">=</w:t>
      </w:r>
      <w:r>
        <w:rPr>
          <w:rStyle w:val="NormalTok"/>
        </w:rPr>
        <w:t xml:space="preserve"> </w:t>
      </w:r>
      <w:r>
        <w:rPr>
          <w:rStyle w:val="VariableTok"/>
        </w:rPr>
        <w:t xml:space="preserve">$MaintenanceStartHour</w:t>
      </w:r>
      <w:r>
        <w:br/>
      </w:r>
      <w:r>
        <w:rPr>
          <w:rStyle w:val="NormalTok"/>
        </w:rPr>
        <w:t xml:space="preserve">            maintenanceWindowDuration     </w:t>
      </w:r>
      <w:r>
        <w:rPr>
          <w:rStyle w:val="OperatorTok"/>
        </w:rPr>
        <w:t xml:space="preserve">=</w:t>
      </w:r>
      <w:r>
        <w:rPr>
          <w:rStyle w:val="NormalTok"/>
        </w:rPr>
        <w:t xml:space="preserve"> </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  </w:t>
      </w:r>
      <w:r>
        <w:rPr>
          <w:rStyle w:val="CommentTok"/>
        </w:rPr>
        <w:t xml:space="preserve"># minutes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Update-AzConnectedMachineExtension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VariableTok"/>
        </w:rPr>
        <w:t xml:space="preserve">$machine</w:t>
      </w:r>
      <w:r>
        <w:rPr>
          <w:rStyle w:val="OperatorTok"/>
        </w:rPr>
        <w:t xml:space="preserve">.</w:t>
      </w:r>
      <w:r>
        <w:rPr>
          <w:rStyle w:val="FunctionTok"/>
        </w:rPr>
        <w:t xml:space="preserve">MachineName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Setting           </w:t>
      </w:r>
      <w:r>
        <w:rPr>
          <w:rStyle w:val="OperatorTok"/>
        </w:rPr>
        <w:t xml:space="preserve">(</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"Auto-patching enabled: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"Failed to configure auto-patching on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SQL Server CU vs. GDR</w:t>
      </w:r>
      <w:r>
        <w:t xml:space="preserve"> </w:t>
      </w:r>
      <w:r>
        <w:t xml:space="preserve">— When MDVM flags a SQL Server CVE, the fix typically comes as either a Cumulative Update (CU) or a General Distribution Release (GDR). GDRs are narrower fixes available for baseline releases; CUs include all previous security fixes plus bug fixes. For compliance purposes, applying the current CU covers all GDR content for that version. If the current CU cannot be applied immediately due to application compatibility testing requirements, applying the targeted GDR addresses the specific CVE while testing continues.</w:t>
      </w:r>
    </w:p>
    <w:p>
      <w:r>
        <w:pict>
          <v:rect style="width:0;height:1.5pt" o:hralign="center" o:hrstd="t" o:hr="t"/>
        </w:pict>
      </w:r>
    </w:p>
    <w:bookmarkEnd w:id="71"/>
    <w:bookmarkEnd w:id="72"/>
    <w:bookmarkStart w:id="75" w:name="Xab37e6e46480f886e04924987cefd4e35703eab"/>
    <w:p>
      <w:pPr>
        <w:pStyle w:val="Heading1"/>
      </w:pPr>
      <w:r>
        <w:t xml:space="preserve">SaaS and the Shared-Responsibility Boundary</w:t>
      </w:r>
    </w:p>
    <w:p>
      <w:pPr>
        <w:pStyle w:val="FirstParagraph"/>
      </w:pPr>
      <w:r>
        <w:t xml:space="preserve">The architecture above governs assets the agency operates: servers and endpoints it enrolls, scans, and patches. Software-as-a-service is a different problem, and forcing it into the server model is a category error. Under shared responsibility, the vendor patches the SaaS platform; the agency manages its configuration posture and consumes the vendor’s continuous-monitoring evidence.</w:t>
      </w:r>
    </w:p>
    <w:bookmarkStart w:id="73" w:name="the-vendors-responsibility"/>
    <w:p>
      <w:pPr>
        <w:pStyle w:val="Heading2"/>
      </w:pPr>
      <w:r>
        <w:t xml:space="preserve">The Vendor’s Responsibility</w:t>
      </w:r>
    </w:p>
    <w:p>
      <w:pPr>
        <w:pStyle w:val="FirstParagraph"/>
      </w:pPr>
      <w:r>
        <w:t xml:space="preserve">For a FedRAMP-authorized SaaS — Microsoft 365 GCC, Amazon Connect, Oracle OCI — the vendor patches the platform, runs its own vulnerability management under its FedRAMP authorization, and publishes continuous-monitoring evidence: a monthly Plan of Action and Milestones (POA&amp;M), scan summaries, and deviation reports. The agency does not, and cannot, patch CVEs on the platform. The vendor’s open findings are the agency’s</w:t>
      </w:r>
      <w:r>
        <w:t xml:space="preserve"> </w:t>
      </w:r>
      <w:r>
        <w:rPr>
          <w:b/>
          <w:bCs/>
        </w:rPr>
        <w:t xml:space="preserve">inherited</w:t>
      </w:r>
      <w:r>
        <w:t xml:space="preserve"> </w:t>
      </w:r>
      <w:r>
        <w:t xml:space="preserve">risk, tracked through the vendor’s POA&amp;M rather than through the agency’s own patch queue.</w:t>
      </w:r>
    </w:p>
    <w:bookmarkEnd w:id="73"/>
    <w:bookmarkStart w:id="74" w:name="the-agencys-responsibility"/>
    <w:p>
      <w:pPr>
        <w:pStyle w:val="Heading2"/>
      </w:pPr>
      <w:r>
        <w:t xml:space="preserve">The Agency’s Responsibility</w:t>
      </w:r>
    </w:p>
    <w:p>
      <w:pPr>
        <w:pStyle w:val="FirstParagraph"/>
      </w:pPr>
      <w:r>
        <w:t xml:space="preserve">The agency’s obligation for SaaS is configuration posture, not flaw remediation — SaaS security posture management (SSPM) and cloud security posture management (CSPM). In the federal Microsoft 365 environment this is</w:t>
      </w:r>
      <w:r>
        <w:t xml:space="preserve"> </w:t>
      </w:r>
      <w:r>
        <w:rPr>
          <w:b/>
          <w:bCs/>
        </w:rPr>
        <w:t xml:space="preserve">SCuBA</w:t>
      </w:r>
      <w:r>
        <w:t xml:space="preserve">: CISA’s Secure Cloud Business Applications baselines, mandated by BOD 25-01, with continuous drift monitoring against them (assessed with CISA’s open-source ScubaGear). For cloud resource posture, Microsoft Defender for Cloud is the FedRAMP</w:t>
      </w:r>
      <w:r>
        <w:t xml:space="preserve"> </w:t>
      </w:r>
      <w:r>
        <w:rPr>
          <w:b/>
          <w:bCs/>
        </w:rPr>
        <w:t xml:space="preserve">Moderate</w:t>
      </w:r>
      <w:r>
        <w:t xml:space="preserve"> </w:t>
      </w:r>
      <w:r>
        <w:t xml:space="preserve">option; the most complete CNAPP peers — Palo Alto Prisma Cloud and Wiz for Government — are FedRAMP</w:t>
      </w:r>
      <w:r>
        <w:t xml:space="preserve"> </w:t>
      </w:r>
      <w:r>
        <w:rPr>
          <w:b/>
          <w:bCs/>
        </w:rPr>
        <w:t xml:space="preserve">High</w:t>
      </w:r>
      <w:r>
        <w:t xml:space="preserve">-authorized, so at the Moderate baseline they require a documented High-covering-Moderate boundary treatment. That CSPM/CNAPP decision is owned in full by Vol III Book 04 (Cloud-Native Posture); this part defers to it rather than re-litigating the vendor choice.</w:t>
      </w:r>
    </w:p>
    <w:p>
      <w:pPr>
        <w:pStyle w:val="BodyText"/>
      </w:pPr>
      <w:r>
        <w:rPr>
          <w:b/>
          <w:bCs/>
        </w:rPr>
        <w:t xml:space="preserve">Scope boundary</w:t>
      </w:r>
      <w:r>
        <w:t xml:space="preserve"> </w:t>
      </w:r>
      <w:r>
        <w:t xml:space="preserve">— This part owns server and endpoint CVE remediation. SaaS configuration posture lives in the SCuBA / ScubaDrift stream and feeds the detection layer (Vol III Book 06 — SIEM/XDR Detection) and the authorization package’s continuous-monitoring evidence (Vol IV Book 06 — Authorization Package &amp; ConMon). The daily KEV pipeline still ingests findings from any agent-bearing hosts, but a SaaS control plane is governed by configuration baselines, not patch SLAs. The two failure modes to avoid are symmetric: treating a SaaS platform like a server the agency patches (it cannot reach the CVEs), or ignoring it because</w:t>
      </w:r>
      <w:r>
        <w:t xml:space="preserve"> </w:t>
      </w:r>
      <w:r>
        <w:t xml:space="preserve">“the vendor handles it”</w:t>
      </w:r>
      <w:r>
        <w:t xml:space="preserve"> </w:t>
      </w:r>
      <w:r>
        <w:t xml:space="preserve">(the agency still owns configuration posture and evidence consumption).</w:t>
      </w:r>
    </w:p>
    <w:bookmarkEnd w:id="74"/>
    <w:bookmarkEnd w:id="75"/>
    <w:bookmarkStart w:id="76" w:name="mechanism-not-product"/>
    <w:p>
      <w:pPr>
        <w:pStyle w:val="Heading1"/>
      </w:pPr>
      <w:r>
        <w:t xml:space="preserve">Mechanism, Not Product</w:t>
      </w:r>
    </w:p>
    <w:p>
      <w:pPr>
        <w:pStyle w:val="FirstParagraph"/>
      </w:pPr>
      <w:r>
        <w:t xml:space="preserve">Every implementation in this part binds to a Microsoft product — Defender Vulnerability Management for scanning, Windows Update for Business and Azure Update Manager for remediation, the Arc SQL extension for cumulative updates, Log Analytics for evidence. That is this agency’s</w:t>
      </w:r>
      <w:r>
        <w:t xml:space="preserve"> </w:t>
      </w:r>
      <w:r>
        <w:rPr>
          <w:i/>
          <w:iCs/>
        </w:rPr>
        <w:t xml:space="preserve">deployed example</w:t>
      </w:r>
      <w:r>
        <w:t xml:space="preserve">, chosen because the tooling already rides the Arc estate at no incremental agent cost. It is not the mechanism, and the series doctrine requires the distinction be explicit.</w:t>
      </w:r>
    </w:p>
    <w:p>
      <w:pPr>
        <w:pStyle w:val="BodyText"/>
      </w:pPr>
      <w:r>
        <w:t xml:space="preserve">The</w:t>
      </w:r>
      <w:r>
        <w:t xml:space="preserve"> </w:t>
      </w:r>
      <w:r>
        <w:rPr>
          <w:b/>
          <w:bCs/>
        </w:rPr>
        <w:t xml:space="preserve">contract</w:t>
      </w:r>
      <w:r>
        <w:t xml:space="preserve"> </w:t>
      </w:r>
      <w:r>
        <w:t xml:space="preserve">does not move regardless of product choice: an inventory-bound continuous scan, a daily CISA KEV cross-reference, automated remediation on an SLA, and a machine-readable compliance record. Each layer of that contract has FedRAMP-authorized alternatives to the Microsoft example:</w:t>
      </w:r>
    </w:p>
    <w:p>
      <w:pPr>
        <w:pStyle w:val="TableCaption"/>
      </w:pPr>
      <w:r>
        <w:t xml:space="preserve">Mechanism-to-product mapping for the vulnerability-management contract</w:t>
      </w:r>
    </w:p>
    <w:tbl>
      <w:tblPr>
        <w:tblStyle w:val="Table"/>
        <w:tblW w:type="pct" w:w="5000"/>
        <w:tblLayout w:type="fixed"/>
        <w:tblLook w:firstRow="1" w:lastRow="0" w:firstColumn="0" w:lastColumn="0" w:noHBand="0" w:noVBand="0" w:val="0020"/>
        <w:tblCaption w:val="Mechanism-to-product mapping for the vulnerability-management contract"/>
      </w:tblPr>
      <w:tblGrid>
        <w:gridCol w:w="2640"/>
        <w:gridCol w:w="2640"/>
        <w:gridCol w:w="2640"/>
      </w:tblGrid>
      <w:tr>
        <w:trPr>
          <w:tblHeader w:val="on"/>
        </w:trPr>
        <w:tc>
          <w:tcPr/>
          <w:p>
            <w:pPr>
              <w:pStyle w:val="Compact"/>
            </w:pPr>
            <w:r>
              <w:t xml:space="preserve">Layer (mechanism)</w:t>
            </w:r>
          </w:p>
        </w:tc>
        <w:tc>
          <w:tcPr/>
          <w:p>
            <w:pPr>
              <w:pStyle w:val="Compact"/>
            </w:pPr>
            <w:r>
              <w:t xml:space="preserve">Deployed example</w:t>
            </w:r>
          </w:p>
        </w:tc>
        <w:tc>
          <w:tcPr/>
          <w:p>
            <w:pPr>
              <w:pStyle w:val="Compact"/>
            </w:pPr>
            <w:r>
              <w:t xml:space="preserve">FedRAMP-authorized alternatives</w:t>
            </w:r>
          </w:p>
        </w:tc>
      </w:tr>
      <w:tr>
        <w:tc>
          <w:tcPr/>
          <w:p>
            <w:pPr>
              <w:pStyle w:val="Compact"/>
            </w:pPr>
            <w:r>
              <w:t xml:space="preserve">Continuous scanning (RA-5)</w:t>
            </w:r>
          </w:p>
        </w:tc>
        <w:tc>
          <w:tcPr/>
          <w:p>
            <w:pPr>
              <w:pStyle w:val="Compact"/>
            </w:pPr>
            <w:r>
              <w:t xml:space="preserve">Defender Vulnerability Management</w:t>
            </w:r>
          </w:p>
        </w:tc>
        <w:tc>
          <w:tcPr/>
          <w:p>
            <w:pPr>
              <w:pStyle w:val="Compact"/>
            </w:pPr>
            <w:r>
              <w:t xml:space="preserve">Tenable.io / Nessus; Qualys VMDR; Rapid7 InsightVM</w:t>
            </w:r>
          </w:p>
        </w:tc>
      </w:tr>
      <w:tr>
        <w:tc>
          <w:tcPr/>
          <w:p>
            <w:pPr>
              <w:pStyle w:val="Compact"/>
            </w:pPr>
            <w:r>
              <w:t xml:space="preserve">Windows remediation (SI-2)</w:t>
            </w:r>
          </w:p>
        </w:tc>
        <w:tc>
          <w:tcPr/>
          <w:p>
            <w:pPr>
              <w:pStyle w:val="Compact"/>
            </w:pPr>
            <w:r>
              <w:t xml:space="preserve">Intune WUfB</w:t>
            </w:r>
          </w:p>
        </w:tc>
        <w:tc>
          <w:tcPr/>
          <w:p>
            <w:pPr>
              <w:pStyle w:val="Compact"/>
            </w:pPr>
            <w:r>
              <w:t xml:space="preserve">WSUS; BigFix; Automox</w:t>
            </w:r>
          </w:p>
        </w:tc>
      </w:tr>
      <w:tr>
        <w:tc>
          <w:tcPr/>
          <w:p>
            <w:pPr>
              <w:pStyle w:val="Compact"/>
            </w:pPr>
            <w:r>
              <w:t xml:space="preserve">Linux remediation (SI-2)</w:t>
            </w:r>
          </w:p>
        </w:tc>
        <w:tc>
          <w:tcPr/>
          <w:p>
            <w:pPr>
              <w:pStyle w:val="Compact"/>
            </w:pPr>
            <w:r>
              <w:t xml:space="preserve">Azure Update Manager</w:t>
            </w:r>
          </w:p>
        </w:tc>
        <w:tc>
          <w:tcPr/>
          <w:p>
            <w:pPr>
              <w:pStyle w:val="Compact"/>
            </w:pPr>
            <w:r>
              <w:t xml:space="preserve">Red Hat Satellite; Ansible; Ubuntu Landscape</w:t>
            </w:r>
          </w:p>
        </w:tc>
      </w:tr>
      <w:tr>
        <w:tc>
          <w:tcPr/>
          <w:p>
            <w:pPr>
              <w:pStyle w:val="Compact"/>
            </w:pPr>
            <w:r>
              <w:t xml:space="preserve">Cloud / SaaS posture (CM, RA)</w:t>
            </w:r>
          </w:p>
        </w:tc>
        <w:tc>
          <w:tcPr/>
          <w:p>
            <w:pPr>
              <w:pStyle w:val="Compact"/>
            </w:pPr>
            <w:r>
              <w:t xml:space="preserve">Defender for Cloud + SCuBA (Moderate)</w:t>
            </w:r>
          </w:p>
        </w:tc>
        <w:tc>
          <w:tcPr/>
          <w:p>
            <w:pPr>
              <w:pStyle w:val="Compact"/>
            </w:pPr>
            <w:r>
              <w:t xml:space="preserve">Prisma Cloud / Wiz are FedRAMP</w:t>
            </w:r>
            <w:r>
              <w:t xml:space="preserve"> </w:t>
            </w:r>
            <w:r>
              <w:rPr>
                <w:b/>
                <w:bCs/>
              </w:rPr>
              <w:t xml:space="preserve">High</w:t>
            </w:r>
            <w:r>
              <w:t xml:space="preserve"> </w:t>
            </w:r>
            <w:r>
              <w:t xml:space="preserve">— see Vol III Book 04; ScubaGear (open source) for M365</w:t>
            </w:r>
          </w:p>
        </w:tc>
      </w:tr>
      <w:tr>
        <w:tc>
          <w:tcPr/>
          <w:p>
            <w:pPr>
              <w:pStyle w:val="Compact"/>
            </w:pPr>
            <w:r>
              <w:t xml:space="preserve">Evidence / KSI (CA-7)</w:t>
            </w:r>
          </w:p>
        </w:tc>
        <w:tc>
          <w:tcPr/>
          <w:p>
            <w:pPr>
              <w:pStyle w:val="Compact"/>
            </w:pPr>
            <w:r>
              <w:t xml:space="preserve">Daily JSON + Log Analytics</w:t>
            </w:r>
          </w:p>
        </w:tc>
        <w:tc>
          <w:tcPr/>
          <w:p>
            <w:pPr>
              <w:pStyle w:val="Compact"/>
            </w:pPr>
            <w:r>
              <w:t xml:space="preserve">Splunk; Elastic (the KSI format is stable)</w:t>
            </w:r>
          </w:p>
        </w:tc>
      </w:tr>
    </w:tbl>
    <w:p>
      <w:pPr>
        <w:pStyle w:val="BodyText"/>
      </w:pPr>
      <w:r>
        <w:t xml:space="preserve">An agency operating a different stack implements the same four-layer contract with different products; the KEV logic, the SLA tiers, and the KSI evidence format are unchanged. The standing caveat applies: verify each candidate’s current authorization on the FedRAMP Marketplace at procurement time, because authorization status changes.</w:t>
      </w:r>
    </w:p>
    <w:bookmarkEnd w:id="76"/>
    <w:bookmarkStart w:id="80" w:name="continuous-monitoring-record"/>
    <w:p>
      <w:pPr>
        <w:pStyle w:val="Heading1"/>
      </w:pPr>
      <w:r>
        <w:t xml:space="preserve">Continuous Monitoring Record</w:t>
      </w:r>
    </w:p>
    <w:bookmarkStart w:id="77" w:name="daily-machine-readable-compliance-output"/>
    <w:p>
      <w:pPr>
        <w:pStyle w:val="Heading2"/>
      </w:pPr>
      <w:r>
        <w:t xml:space="preserve">Daily Machine-Readable Compliance Output</w:t>
      </w:r>
    </w:p>
    <w:p>
      <w:pPr>
        <w:pStyle w:val="FirstParagraph"/>
      </w:pPr>
      <w:r>
        <w:t xml:space="preserve">The daily patch queue script in Section 3 produces two JSON files: a full CVE-machine finding list and a compliance summary. The compliance summary is the primary artifact for FedRAMP 20x KSI reporting. Its structure is designed to answer the specific questions an automated KSI engine asks about RA-5 compliance without human assembly.</w:t>
      </w:r>
    </w:p>
    <w:p>
      <w:pPr>
        <w:pStyle w:val="BodyText"/>
      </w:pPr>
      <w:r>
        <w:t xml:space="preserve">} program SI-2 target across the Critical and High population on a 30-day rolling window. Blue bar: this is the artifact the assessor’s third question needs — produced every day with no human assembly, answering RA-5 and SI-2 as a query against a file that already exists. White background. Source: Vol III Book 02 Vulnerability Management briefing deck, Date Code 2026-07-08 13:21 ET.” width=</w:t>
      </w:r>
      <w:r>
        <w:t xml:space="preserve">“100%”</w:t>
      </w:r>
      <w:r>
        <w:t xml:space="preserve">}</w:t>
      </w:r>
    </w:p>
    <w:p>
      <w:pPr>
        <w:pStyle w:val="BodyText"/>
      </w:pPr>
      <w:r>
        <w:t xml:space="preserve">The compliance summary JSON produced daily has the following structure:</w:t>
      </w:r>
    </w:p>
    <w:p>
      <w:pPr>
        <w:pStyle w:val="SourceCode"/>
      </w:pPr>
      <w:r>
        <w:rPr>
          <w:rStyle w:val="FunctionTok"/>
        </w:rPr>
        <w:t xml:space="preserve">{</w:t>
      </w:r>
      <w:r>
        <w:br/>
      </w:r>
      <w:r>
        <w:rPr>
          <w:rStyle w:val="NormalTok"/>
        </w:rPr>
        <w:t xml:space="preserve">  </w:t>
      </w:r>
      <w:r>
        <w:rPr>
          <w:rStyle w:val="DataTypeTok"/>
        </w:rPr>
        <w:t xml:space="preserve">"AsOfDate"</w:t>
      </w:r>
      <w:r>
        <w:rPr>
          <w:rStyle w:val="FunctionTok"/>
        </w:rPr>
        <w:t xml:space="preserve">:</w:t>
      </w:r>
      <w:r>
        <w:rPr>
          <w:rStyle w:val="NormalTok"/>
        </w:rPr>
        <w:t xml:space="preserve"> </w:t>
      </w:r>
      <w:r>
        <w:rPr>
          <w:rStyle w:val="StringTok"/>
        </w:rPr>
        <w:t xml:space="preserve">"2026-07-02"</w:t>
      </w:r>
      <w:r>
        <w:rPr>
          <w:rStyle w:val="FunctionTok"/>
        </w:rPr>
        <w:t xml:space="preserve">,</w:t>
      </w:r>
      <w:r>
        <w:br/>
      </w:r>
      <w:r>
        <w:rPr>
          <w:rStyle w:val="NormalTok"/>
        </w:rPr>
        <w:t xml:space="preserve">  </w:t>
      </w:r>
      <w:r>
        <w:rPr>
          <w:rStyle w:val="DataTypeTok"/>
        </w:rPr>
        <w:t xml:space="preserve">"TotalFindings"</w:t>
      </w:r>
      <w:r>
        <w:rPr>
          <w:rStyle w:val="FunctionTok"/>
        </w:rPr>
        <w:t xml:space="preserve">:</w:t>
      </w:r>
      <w:r>
        <w:rPr>
          <w:rStyle w:val="NormalTok"/>
        </w:rPr>
        <w:t xml:space="preserve"> </w:t>
      </w:r>
      <w:r>
        <w:rPr>
          <w:rStyle w:val="DecValTok"/>
        </w:rPr>
        <w:t xml:space="preserve">847</w:t>
      </w:r>
      <w:r>
        <w:rPr>
          <w:rStyle w:val="FunctionTok"/>
        </w:rPr>
        <w:t xml:space="preserve">,</w:t>
      </w:r>
      <w:r>
        <w:br/>
      </w:r>
      <w:r>
        <w:rPr>
          <w:rStyle w:val="NormalTok"/>
        </w:rPr>
        <w:t xml:space="preserve">  </w:t>
      </w:r>
      <w:r>
        <w:rPr>
          <w:rStyle w:val="DataTypeTok"/>
        </w:rPr>
        <w:t xml:space="preserve">"TotalMachines"</w:t>
      </w:r>
      <w:r>
        <w:rPr>
          <w:rStyle w:val="FunctionTok"/>
        </w:rPr>
        <w:t xml:space="preserve">:</w:t>
      </w:r>
      <w:r>
        <w:rPr>
          <w:rStyle w:val="NormalTok"/>
        </w:rPr>
        <w:t xml:space="preserve"> </w:t>
      </w:r>
      <w:r>
        <w:rPr>
          <w:rStyle w:val="DecValTok"/>
        </w:rPr>
        <w:t xml:space="preserve">142</w:t>
      </w:r>
      <w:r>
        <w:rPr>
          <w:rStyle w:val="FunctionTok"/>
        </w:rPr>
        <w:t xml:space="preserve">,</w:t>
      </w:r>
      <w:r>
        <w:br/>
      </w:r>
      <w:r>
        <w:rPr>
          <w:rStyle w:val="NormalTok"/>
        </w:rPr>
        <w:t xml:space="preserve">  </w:t>
      </w:r>
      <w:r>
        <w:rPr>
          <w:rStyle w:val="DataTypeTok"/>
        </w:rPr>
        <w:t xml:space="preserve">"KEVFindings"</w:t>
      </w:r>
      <w:r>
        <w:rPr>
          <w:rStyle w:val="FunctionTok"/>
        </w:rPr>
        <w:t xml:space="preserve">:</w:t>
      </w:r>
      <w:r>
        <w:rPr>
          <w:rStyle w:val="NormalTok"/>
        </w:rPr>
        <w:t xml:space="preserve"> </w:t>
      </w:r>
      <w:r>
        <w:rPr>
          <w:rStyle w:val="DecValTok"/>
        </w:rPr>
        <w:t xml:space="preserve">23</w:t>
      </w:r>
      <w:r>
        <w:rPr>
          <w:rStyle w:val="FunctionTok"/>
        </w:rPr>
        <w:t xml:space="preserve">,</w:t>
      </w:r>
      <w:r>
        <w:br/>
      </w:r>
      <w:r>
        <w:rPr>
          <w:rStyle w:val="NormalTok"/>
        </w:rPr>
        <w:t xml:space="preserve">  </w:t>
      </w:r>
      <w:r>
        <w:rPr>
          <w:rStyle w:val="DataTypeTok"/>
        </w:rPr>
        <w:t xml:space="preserve">"P0_KEV_Internet"</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"P1_KEV_Internal"</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"P2_Critical"</w:t>
      </w:r>
      <w:r>
        <w:rPr>
          <w:rStyle w:val="FunctionTok"/>
        </w:rPr>
        <w:t xml:space="preserve">:</w:t>
      </w:r>
      <w:r>
        <w:rPr>
          <w:rStyle w:val="NormalTok"/>
        </w:rPr>
        <w:t xml:space="preserve"> </w:t>
      </w:r>
      <w:r>
        <w:rPr>
          <w:rStyle w:val="DecValTok"/>
        </w:rPr>
        <w:t xml:space="preserve">104</w:t>
      </w:r>
      <w:r>
        <w:rPr>
          <w:rStyle w:val="FunctionTok"/>
        </w:rPr>
        <w:t xml:space="preserve">,</w:t>
      </w:r>
      <w:r>
        <w:br/>
      </w:r>
      <w:r>
        <w:rPr>
          <w:rStyle w:val="NormalTok"/>
        </w:rPr>
        <w:t xml:space="preserve">  </w:t>
      </w:r>
      <w:r>
        <w:rPr>
          <w:rStyle w:val="DataTypeTok"/>
        </w:rPr>
        <w:t xml:space="preserve">"P3_High"</w:t>
      </w:r>
      <w:r>
        <w:rPr>
          <w:rStyle w:val="FunctionTok"/>
        </w:rPr>
        <w:t xml:space="preserve">:</w:t>
      </w:r>
      <w:r>
        <w:rPr>
          <w:rStyle w:val="NormalTok"/>
        </w:rPr>
        <w:t xml:space="preserve"> </w:t>
      </w:r>
      <w:r>
        <w:rPr>
          <w:rStyle w:val="DecValTok"/>
        </w:rPr>
        <w:t xml:space="preserve">289</w:t>
      </w:r>
      <w:r>
        <w:rPr>
          <w:rStyle w:val="FunctionTok"/>
        </w:rPr>
        <w:t xml:space="preserve">,</w:t>
      </w:r>
      <w:r>
        <w:br/>
      </w:r>
      <w:r>
        <w:rPr>
          <w:rStyle w:val="NormalTok"/>
        </w:rPr>
        <w:t xml:space="preserve">  </w:t>
      </w:r>
      <w:r>
        <w:rPr>
          <w:rStyle w:val="DataTypeTok"/>
        </w:rPr>
        <w:t xml:space="preserve">"P4_Medium"</w:t>
      </w:r>
      <w:r>
        <w:rPr>
          <w:rStyle w:val="FunctionTok"/>
        </w:rPr>
        <w:t xml:space="preserve">:</w:t>
      </w:r>
      <w:r>
        <w:rPr>
          <w:rStyle w:val="NormalTok"/>
        </w:rPr>
        <w:t xml:space="preserve"> </w:t>
      </w:r>
      <w:r>
        <w:rPr>
          <w:rStyle w:val="DecValTok"/>
        </w:rPr>
        <w:t xml:space="preserve">398</w:t>
      </w:r>
      <w:r>
        <w:rPr>
          <w:rStyle w:val="FunctionTok"/>
        </w:rPr>
        <w:t xml:space="preserve">,</w:t>
      </w:r>
      <w:r>
        <w:br/>
      </w:r>
      <w:r>
        <w:rPr>
          <w:rStyle w:val="NormalTok"/>
        </w:rPr>
        <w:t xml:space="preserve">  </w:t>
      </w:r>
      <w:r>
        <w:rPr>
          <w:rStyle w:val="DataTypeTok"/>
        </w:rPr>
        <w:t xml:space="preserve">"P5_Low"</w:t>
      </w:r>
      <w:r>
        <w:rPr>
          <w:rStyle w:val="FunctionTok"/>
        </w:rPr>
        <w:t xml:space="preserve">:</w:t>
      </w:r>
      <w:r>
        <w:rPr>
          <w:rStyle w:val="NormalTok"/>
        </w:rPr>
        <w:t xml:space="preserve"> </w:t>
      </w:r>
      <w:r>
        <w:rPr>
          <w:rStyle w:val="DecValTok"/>
        </w:rPr>
        <w:t xml:space="preserve">33</w:t>
      </w:r>
      <w:r>
        <w:rPr>
          <w:rStyle w:val="FunctionTok"/>
        </w:rPr>
        <w:t xml:space="preserve">,</w:t>
      </w:r>
      <w:r>
        <w:br/>
      </w:r>
      <w:r>
        <w:rPr>
          <w:rStyle w:val="NormalTok"/>
        </w:rPr>
        <w:t xml:space="preserve">  </w:t>
      </w:r>
      <w:r>
        <w:rPr>
          <w:rStyle w:val="DataTypeTok"/>
        </w:rPr>
        <w:t xml:space="preserve">"SLABreached"</w:t>
      </w:r>
      <w:r>
        <w:rPr>
          <w:rStyle w:val="FunctionTok"/>
        </w:rPr>
        <w:t xml:space="preserve">:</w:t>
      </w:r>
      <w:r>
        <w:rPr>
          <w:rStyle w:val="NormalTok"/>
        </w:rPr>
        <w:t xml:space="preserve"> </w:t>
      </w:r>
      <w:r>
        <w:rPr>
          <w:rStyle w:val="DecValTok"/>
        </w:rPr>
        <w:t xml:space="preserve">12</w:t>
      </w:r>
      <w:r>
        <w:rPr>
          <w:rStyle w:val="FunctionTok"/>
        </w:rPr>
        <w:t xml:space="preserve">,</w:t>
      </w:r>
      <w:r>
        <w:br/>
      </w:r>
      <w:r>
        <w:rPr>
          <w:rStyle w:val="NormalTok"/>
        </w:rPr>
        <w:t xml:space="preserve">  </w:t>
      </w:r>
      <w:r>
        <w:rPr>
          <w:rStyle w:val="DataTypeTok"/>
        </w:rPr>
        <w:t xml:space="preserve">"SLABreachedKEV"</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"MachinesOutOfSLA"</w:t>
      </w:r>
      <w:r>
        <w:rPr>
          <w:rStyle w:val="FunctionTok"/>
        </w:rPr>
        <w:t xml:space="preserve">:</w:t>
      </w:r>
      <w:r>
        <w:rPr>
          <w:rStyle w:val="NormalTok"/>
        </w:rPr>
        <w:t xml:space="preserve"> </w:t>
      </w:r>
      <w:r>
        <w:rPr>
          <w:rStyle w:val="DecValTok"/>
        </w:rPr>
        <w:t xml:space="preserve">8</w:t>
      </w:r>
      <w:r>
        <w:rPr>
          <w:rStyle w:val="FunctionTok"/>
        </w:rPr>
        <w:t xml:space="preserve">,</w:t>
      </w:r>
      <w:r>
        <w:br/>
      </w:r>
      <w:r>
        <w:rPr>
          <w:rStyle w:val="NormalTok"/>
        </w:rPr>
        <w:t xml:space="preserve">  </w:t>
      </w:r>
      <w:r>
        <w:rPr>
          <w:rStyle w:val="DataTypeTok"/>
        </w:rPr>
        <w:t xml:space="preserve">"PatchComplianceRate"</w:t>
      </w:r>
      <w:r>
        <w:rPr>
          <w:rStyle w:val="FunctionTok"/>
        </w:rPr>
        <w:t xml:space="preserve">:</w:t>
      </w:r>
      <w:r>
        <w:rPr>
          <w:rStyle w:val="NormalTok"/>
        </w:rPr>
        <w:t xml:space="preserve"> </w:t>
      </w:r>
      <w:r>
        <w:rPr>
          <w:rStyle w:val="FloatTok"/>
        </w:rPr>
        <w:t xml:space="preserve">98.6</w:t>
      </w:r>
      <w:r>
        <w:rPr>
          <w:rStyle w:val="FunctionTok"/>
        </w:rPr>
        <w:t xml:space="preserve">,</w:t>
      </w:r>
      <w:r>
        <w:br/>
      </w:r>
      <w:r>
        <w:rPr>
          <w:rStyle w:val="NormalTok"/>
        </w:rPr>
        <w:t xml:space="preserve">  </w:t>
      </w:r>
      <w:r>
        <w:rPr>
          <w:rStyle w:val="DataTypeTok"/>
        </w:rPr>
        <w:t xml:space="preserve">"KEVCatalogSize"</w:t>
      </w:r>
      <w:r>
        <w:rPr>
          <w:rStyle w:val="FunctionTok"/>
        </w:rPr>
        <w:t xml:space="preserve">:</w:t>
      </w:r>
      <w:r>
        <w:rPr>
          <w:rStyle w:val="NormalTok"/>
        </w:rPr>
        <w:t xml:space="preserve"> </w:t>
      </w:r>
      <w:r>
        <w:rPr>
          <w:rStyle w:val="DecValTok"/>
        </w:rPr>
        <w:t xml:space="preserve">1148</w:t>
      </w:r>
      <w:r>
        <w:rPr>
          <w:rStyle w:val="FunctionTok"/>
        </w:rPr>
        <w:t xml:space="preserve">,</w:t>
      </w:r>
      <w:r>
        <w:br/>
      </w:r>
      <w:r>
        <w:rPr>
          <w:rStyle w:val="NormalTok"/>
        </w:rPr>
        <w:t xml:space="preserve">  </w:t>
      </w:r>
      <w:r>
        <w:rPr>
          <w:rStyle w:val="DataTypeTok"/>
        </w:rPr>
        <w:t xml:space="preserve">"KEVCatalogAsOf"</w:t>
      </w:r>
      <w:r>
        <w:rPr>
          <w:rStyle w:val="FunctionTok"/>
        </w:rPr>
        <w:t xml:space="preserve">:</w:t>
      </w:r>
      <w:r>
        <w:rPr>
          <w:rStyle w:val="NormalTok"/>
        </w:rPr>
        <w:t xml:space="preserve"> </w:t>
      </w:r>
      <w:r>
        <w:rPr>
          <w:rStyle w:val="StringTok"/>
        </w:rPr>
        <w:t xml:space="preserve">"2026-07-01"</w:t>
      </w:r>
      <w:r>
        <w:br/>
      </w:r>
      <w:r>
        <w:rPr>
          <w:rStyle w:val="FunctionTok"/>
        </w:rPr>
        <w:t xml:space="preserve">}</w:t>
      </w:r>
    </w:p>
    <w:p>
      <w:pPr>
        <w:pStyle w:val="FirstParagraph"/>
      </w:pPr>
      <w:r>
        <w:t xml:space="preserve">For the RA-5 KSI assessment, the key metrics are</w:t>
      </w:r>
      <w:r>
        <w:t xml:space="preserve"> </w:t>
      </w:r>
      <w:r>
        <w:rPr>
          <w:rStyle w:val="VerbatimChar"/>
        </w:rPr>
        <w:t xml:space="preserve">SLABreachedKEV</w:t>
      </w:r>
      <w:r>
        <w:t xml:space="preserve"> </w:t>
      </w:r>
      <w:r>
        <w:t xml:space="preserve">(must be zero for BOD 26-04 compliance) and</w:t>
      </w:r>
      <w:r>
        <w:t xml:space="preserve"> </w:t>
      </w:r>
      <w:r>
        <w:rPr>
          <w:rStyle w:val="VerbatimChar"/>
        </w:rPr>
        <w:t xml:space="preserve">PatchComplianceRate</w:t>
      </w:r>
      <w:r>
        <w:t xml:space="preserve"> </w:t>
      </w:r>
      <w:r>
        <w:t xml:space="preserve">(the program’s operational target is 95% or higher across the active finding population — all priority tiers, as the script computes it — on a 30-day rolling window; this is an Agency program target, not a published FedRAMP 20x threshold).</w:t>
      </w:r>
    </w:p>
    <w:bookmarkEnd w:id="77"/>
    <w:bookmarkStart w:id="78" w:name="Xe241b7a293262119fe84db68b4adf0d84423dc4"/>
    <w:p>
      <w:pPr>
        <w:pStyle w:val="Heading2"/>
      </w:pPr>
      <w:r>
        <w:t xml:space="preserve">Storing and Querying the Compliance History</w:t>
      </w:r>
    </w:p>
    <w:p>
      <w:pPr>
        <w:pStyle w:val="FirstParagraph"/>
      </w:pPr>
      <w:r>
        <w:t xml:space="preserve">The compliance record accumulates daily. For FedRAMP 20x, assessors will typically request a 90-day or 180-day compliance record. The following pattern stores daily summaries in Azure Blob Storage and enables querying across the history.</w:t>
      </w:r>
    </w:p>
    <w:p>
      <w:pPr>
        <w:pStyle w:val="SourceCode"/>
      </w:pPr>
      <w:r>
        <w:rPr>
          <w:rStyle w:val="CommentTok"/>
        </w:rPr>
        <w:t xml:space="preserve"># Archive daily compliance summary to Azure Blob Storage</w:t>
      </w:r>
      <w:r>
        <w:br/>
      </w:r>
      <w:r>
        <w:rPr>
          <w:rStyle w:val="CommentTok"/>
        </w:rPr>
        <w:t xml:space="preserve"># Run as final step of the daily patch-queue script</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$StorageAccountName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$ContainerName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CommentTok"/>
        </w:rPr>
        <w:t xml:space="preserve"># Use Managed Identity (if running in Azure Automation) or Az context</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VariableTok"/>
        </w:rPr>
        <w:t xml:space="preserve">$StorageAccountName</w:t>
      </w:r>
      <w:r>
        <w:rPr>
          <w:rStyle w:val="NormalTok"/>
        </w:rPr>
        <w:t xml:space="preserve"> </w:t>
      </w:r>
      <w:r>
        <w:rPr>
          <w:rStyle w:val="OperatorTok"/>
        </w:rPr>
        <w:t xml:space="preserve">-</w:t>
      </w:r>
      <w:r>
        <w:rPr>
          <w:rStyle w:val="NormalTok"/>
        </w:rPr>
        <w:t xml:space="preserve">UseConnectedAccount</w:t>
      </w:r>
      <w:r>
        <w:br/>
      </w:r>
      <w:r>
        <w:br/>
      </w:r>
      <w:r>
        <w:rPr>
          <w:rStyle w:val="VariableTok"/>
        </w:rPr>
        <w:t xml:space="preserve">$blobName</w:t>
      </w:r>
      <w:r>
        <w:rPr>
          <w:rStyle w:val="NormalTok"/>
        </w:rPr>
        <w:t xml:space="preserve"> </w:t>
      </w:r>
      <w:r>
        <w:rPr>
          <w:rStyle w:val="OperatorTok"/>
        </w:rPr>
        <w:t xml:space="preserve">=</w:t>
      </w:r>
      <w:r>
        <w:rPr>
          <w:rStyle w:val="NormalTok"/>
        </w:rPr>
        <w:t xml:space="preserve"> </w:t>
      </w:r>
      <w:r>
        <w:rPr>
          <w:rStyle w:val="StringTok"/>
        </w:rPr>
        <w:t xml:space="preserve">"vulnerability-compliance/</w:t>
      </w:r>
      <w:r>
        <w:rPr>
          <w:rStyle w:val="OperatorTok"/>
        </w:rPr>
        <w:t xml:space="preserve">$(</w:t>
      </w:r>
      <w:r>
        <w:rPr>
          <w:rStyle w:val="FunctionTok"/>
        </w:rPr>
        <w:t xml:space="preserve">Split-Path</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Leaf</w:t>
      </w:r>
      <w:r>
        <w:rPr>
          <w:rStyle w:val="OperatorTok"/>
        </w:rPr>
        <w:t xml:space="preserve">)</w:t>
      </w:r>
      <w:r>
        <w:rPr>
          <w:rStyle w:val="StringTok"/>
        </w:rPr>
        <w:t xml:space="preserve">"</w:t>
      </w:r>
      <w:r>
        <w:br/>
      </w:r>
      <w:r>
        <w:br/>
      </w:r>
      <w:r>
        <w:rPr>
          <w:rStyle w:val="NormalTok"/>
        </w:rPr>
        <w:t xml:space="preserve">Set-AzStorageBlobContent `</w:t>
      </w:r>
      <w:r>
        <w:br/>
      </w:r>
      <w:r>
        <w:rPr>
          <w:rStyle w:val="NormalTok"/>
        </w:rPr>
        <w:t xml:space="preserve">    </w:t>
      </w:r>
      <w:r>
        <w:rPr>
          <w:rStyle w:val="OperatorTok"/>
        </w:rPr>
        <w:t xml:space="preserve">-</w:t>
      </w:r>
      <w:r>
        <w:rPr>
          <w:rStyle w:val="NormalTok"/>
        </w:rPr>
        <w:t xml:space="preserve">File       </w:t>
      </w:r>
      <w:r>
        <w:rPr>
          <w:rStyle w:val="VariableTok"/>
        </w:rPr>
        <w:t xml:space="preserve">$SummaryFilePath</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VariableTok"/>
        </w:rPr>
        <w:t xml:space="preserve">$blobName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br/>
      </w:r>
      <w:r>
        <w:rPr>
          <w:rStyle w:val="FunctionTok"/>
        </w:rPr>
        <w:t xml:space="preserve">Write-Host</w:t>
      </w:r>
      <w:r>
        <w:rPr>
          <w:rStyle w:val="NormalTok"/>
        </w:rPr>
        <w:t xml:space="preserve"> </w:t>
      </w:r>
      <w:r>
        <w:rPr>
          <w:rStyle w:val="StringTok"/>
        </w:rPr>
        <w:t xml:space="preserve">"Compliance summary archived to: </w:t>
      </w:r>
      <w:r>
        <w:rPr>
          <w:rStyle w:val="VariableTok"/>
        </w:rPr>
        <w:t xml:space="preserve">$StorageAccountName</w:t>
      </w:r>
      <w:r>
        <w:rPr>
          <w:rStyle w:val="StringTok"/>
        </w:rPr>
        <w:t xml:space="preserve">/</w:t>
      </w:r>
      <w:r>
        <w:rPr>
          <w:rStyle w:val="VariableTok"/>
        </w:rPr>
        <w:t xml:space="preserve">$ContainerName</w:t>
      </w:r>
      <w:r>
        <w:rPr>
          <w:rStyle w:val="StringTok"/>
        </w:rPr>
        <w:t xml:space="preserve">/</w:t>
      </w:r>
      <w:r>
        <w:rPr>
          <w:rStyle w:val="VariableTok"/>
        </w:rPr>
        <w:t xml:space="preserve">$blobName</w:t>
      </w:r>
      <w:r>
        <w:rPr>
          <w:rStyle w:val="StringTok"/>
        </w:rPr>
        <w:t xml:space="preserve">"</w:t>
      </w:r>
      <w:r>
        <w:br/>
      </w:r>
      <w:r>
        <w:br/>
      </w:r>
      <w:r>
        <w:rPr>
          <w:rStyle w:val="CommentTok"/>
        </w:rPr>
        <w:t xml:space="preserve"># Generate 90-day trend report from stored summaries</w:t>
      </w:r>
      <w:r>
        <w:br/>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br/>
      </w:r>
      <w:r>
        <w:rPr>
          <w:rStyle w:val="VariableTok"/>
        </w:rPr>
        <w:t xml:space="preserve">$blobs</w:t>
      </w:r>
      <w:r>
        <w:rPr>
          <w:rStyle w:val="NormalTok"/>
        </w:rPr>
        <w:t xml:space="preserve"> </w:t>
      </w:r>
      <w:r>
        <w:rPr>
          <w:rStyle w:val="OperatorTok"/>
        </w:rPr>
        <w:t xml:space="preserve">=</w:t>
      </w:r>
      <w:r>
        <w:rPr>
          <w:rStyle w:val="NormalTok"/>
        </w:rPr>
        <w:t xml:space="preserve"> Get-AzStorageBlob </w:t>
      </w:r>
      <w:r>
        <w:rPr>
          <w:rStyle w:val="OperatorTok"/>
        </w:rPr>
        <w:t xml:space="preserve">-</w:t>
      </w:r>
      <w:r>
        <w:rPr>
          <w:rStyle w:val="NormalTok"/>
        </w:rPr>
        <w:t xml:space="preserve">Container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rPr>
          <w:rStyle w:val="OperatorTok"/>
        </w:rPr>
        <w:t xml:space="preserve">-</w:t>
      </w:r>
      <w:r>
        <w:rPr>
          <w:rStyle w:val="NormalTok"/>
        </w:rPr>
        <w:t xml:space="preserve">Prefix </w:t>
      </w:r>
      <w:r>
        <w:rPr>
          <w:rStyle w:val="StringTok"/>
        </w:rPr>
        <w:t xml:space="preserve">'vulnerability-compliance/'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-match</w:t>
      </w:r>
      <w:r>
        <w:rPr>
          <w:rStyle w:val="NormalTok"/>
        </w:rPr>
        <w:t xml:space="preserve"> </w:t>
      </w:r>
      <w:r>
        <w:rPr>
          <w:rStyle w:val="StringTok"/>
        </w:rPr>
        <w:t xml:space="preserve">'\d{4}-\d{2}-\d{2}'</w:t>
      </w:r>
      <w:r>
        <w:rPr>
          <w:rStyle w:val="NormalTok"/>
        </w:rPr>
        <w:t xml:space="preserve"> </w:t>
      </w:r>
      <w:r>
        <w:rPr>
          <w:rStyle w:val="OperatorTok"/>
        </w:rPr>
        <w:t xml:space="preserve">-and</w:t>
      </w:r>
      <w:r>
        <w:rPr>
          <w:rStyle w:val="NormalTok"/>
        </w:rPr>
        <w:t xml:space="preserve"> </w:t>
      </w:r>
      <w:r>
        <w:rPr>
          <w:rStyle w:val="VariableTok"/>
        </w:rPr>
        <w:t xml:space="preserve">$Matches</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-ge</w:t>
      </w:r>
      <w:r>
        <w:rPr>
          <w:rStyle w:val="NormalTok"/>
        </w:rPr>
        <w:t xml:space="preserve"> </w:t>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Name</w:t>
      </w:r>
      <w:r>
        <w:br/>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$blob</w:t>
      </w:r>
      <w:r>
        <w:rPr>
          <w:rStyle w:val="NormalTok"/>
        </w:rPr>
        <w:t xml:space="preserve"> </w:t>
      </w:r>
      <w:r>
        <w:rPr>
          <w:rStyle w:val="KeywordTok"/>
        </w:rPr>
        <w:t xml:space="preserve">in</w:t>
      </w:r>
      <w:r>
        <w:rPr>
          <w:rStyle w:val="NormalTok"/>
        </w:rPr>
        <w:t xml:space="preserve"> </w:t>
      </w:r>
      <w:r>
        <w:rPr>
          <w:rStyle w:val="VariableTok"/>
        </w:rPr>
        <w:t xml:space="preserve">$blobs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$content</w:t>
      </w:r>
      <w:r>
        <w:rPr>
          <w:rStyle w:val="NormalTok"/>
        </w:rPr>
        <w:t xml:space="preserve"> </w:t>
      </w:r>
      <w:r>
        <w:rPr>
          <w:rStyle w:val="OperatorTok"/>
        </w:rPr>
        <w:t xml:space="preserve">=</w:t>
      </w:r>
      <w:r>
        <w:rPr>
          <w:rStyle w:val="NormalTok"/>
        </w:rPr>
        <w:t xml:space="preserve"> </w:t>
      </w:r>
      <w:r>
        <w:rPr>
          <w:rStyle w:val="VariableTok"/>
        </w:rPr>
        <w:t xml:space="preserve">$blob</w:t>
      </w:r>
      <w:r>
        <w:rPr>
          <w:rStyle w:val="NormalTok"/>
        </w:rPr>
        <w:t xml:space="preserve"> </w:t>
      </w:r>
      <w:r>
        <w:rPr>
          <w:rStyle w:val="OperatorTok"/>
        </w:rPr>
        <w:t xml:space="preserve">|</w:t>
      </w:r>
      <w:r>
        <w:rPr>
          <w:rStyle w:val="NormalTok"/>
        </w:rPr>
        <w:t xml:space="preserve"> Get-AzStorageBlobContent </w:t>
      </w:r>
      <w:r>
        <w:rPr>
          <w:rStyle w:val="OperatorTok"/>
        </w:rPr>
        <w:t xml:space="preserve">-</w:t>
      </w:r>
      <w:r>
        <w:rPr>
          <w:rStyle w:val="NormalTok"/>
        </w:rPr>
        <w:t xml:space="preserve">Destination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Context </w:t>
      </w:r>
      <w:r>
        <w:rPr>
          <w:rStyle w:val="VariableTok"/>
        </w:rPr>
        <w:t xml:space="preserve">$storageContext</w:t>
      </w:r>
      <w:r>
        <w:br/>
      </w:r>
      <w:r>
        <w:rPr>
          <w:rStyle w:val="NormalTok"/>
        </w:rPr>
        <w:t xml:space="preserve">    </w:t>
      </w:r>
      <w:r>
        <w:rPr>
          <w:rStyle w:val="VariableTok"/>
        </w:rPr>
        <w:t xml:space="preserve">$data</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AsOfDate</w:t>
      </w:r>
      <w:r>
        <w:br/>
      </w:r>
      <w:r>
        <w:rPr>
          <w:rStyle w:val="NormalTok"/>
        </w:rPr>
        <w:t xml:space="preserve">        PatchComplianceRate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PatchComplianceRate</w:t>
      </w:r>
      <w:r>
        <w:br/>
      </w:r>
      <w:r>
        <w:rPr>
          <w:rStyle w:val="NormalTok"/>
        </w:rPr>
        <w:t xml:space="preserve">        SLABreached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w:t>
      </w:r>
      <w:r>
        <w:br/>
      </w:r>
      <w:r>
        <w:rPr>
          <w:rStyle w:val="NormalTok"/>
        </w:rPr>
        <w:t xml:space="preserve">        SLABreachedKEV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SLABreachedKEV</w:t>
      </w:r>
      <w:r>
        <w:br/>
      </w:r>
      <w:r>
        <w:rPr>
          <w:rStyle w:val="NormalTok"/>
        </w:rPr>
        <w:t xml:space="preserve">        KEVFindings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KEVFindings</w:t>
      </w:r>
      <w:r>
        <w:br/>
      </w:r>
      <w:r>
        <w:rPr>
          <w:rStyle w:val="NormalTok"/>
        </w:rPr>
        <w:t xml:space="preserve">        TotalFindings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TotalFindings</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90-day trend</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".\compliance-trend-90day.csv"</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"90-day trend exported to: .\compliance-trend-90day.csv"</w:t>
      </w:r>
    </w:p>
    <w:bookmarkEnd w:id="78"/>
    <w:bookmarkStart w:id="79" w:name="azure-monitor-workbook-for-operations"/>
    <w:p>
      <w:pPr>
        <w:pStyle w:val="Heading2"/>
      </w:pPr>
      <w:r>
        <w:t xml:space="preserve">Azure Monitor Workbook for Operations</w:t>
      </w:r>
    </w:p>
    <w:p>
      <w:pPr>
        <w:pStyle w:val="FirstParagraph"/>
      </w:pPr>
      <w:r>
        <w:t xml:space="preserve">The daily JSON data can be ingested into a Log Analytics workspace and surfaced through an Azure Monitor Workbook for operational visibility. Create a custom log table (</w:t>
      </w:r>
      <w:r>
        <w:rPr>
          <w:rStyle w:val="VerbatimChar"/>
        </w:rPr>
        <w:t xml:space="preserve">VulnCompliance_CL</w:t>
      </w:r>
      <w:r>
        <w:t xml:space="preserve">) and configure a Data Collection Rule to ingest the daily summary JSON. The workbook provides the operations team with a dashboard showing patch compliance rate trend, KEV finding counts, and SLA breach alerts without requiring them to parse JSON files.</w:t>
      </w:r>
    </w:p>
    <w:p>
      <w:pPr>
        <w:pStyle w:val="SourceCode"/>
      </w:pPr>
      <w:r>
        <w:rPr>
          <w:rStyle w:val="CommentTok"/>
        </w:rPr>
        <w:t xml:space="preserve"># Send daily compliance summary to Log Analytics custom table</w:t>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$WorkspaceKey</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VariableTok"/>
        </w:rPr>
        <w:t xml:space="preserve">$logEntry</w:t>
      </w:r>
      <w:r>
        <w:rPr>
          <w:rStyle w:val="NormalTok"/>
        </w:rPr>
        <w:t xml:space="preserve"> </w:t>
      </w:r>
      <w:r>
        <w:rPr>
          <w:rStyle w:val="OperatorTok"/>
        </w:rPr>
        <w:t xml:space="preserve">=</w:t>
      </w:r>
      <w:r>
        <w:rPr>
          <w:rStyle w:val="NormalTok"/>
        </w:rPr>
        <w:t xml:space="preserve"> </w:t>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Compress</w:t>
      </w:r>
      <w:r>
        <w:br/>
      </w:r>
      <w:r>
        <w:br/>
      </w:r>
      <w:r>
        <w:rPr>
          <w:rStyle w:val="CommentTok"/>
        </w:rPr>
        <w:t xml:space="preserve"># Log Analytics Data Collector API</w:t>
      </w:r>
      <w:r>
        <w:br/>
      </w:r>
      <w:r>
        <w:rPr>
          <w:rStyle w:val="VariableTok"/>
        </w:rPr>
        <w:t xml:space="preserve">$method</w:t>
      </w:r>
      <w:r>
        <w:rPr>
          <w:rStyle w:val="NormalTok"/>
        </w:rPr>
        <w:t xml:space="preserve">      </w:t>
      </w:r>
      <w:r>
        <w:rPr>
          <w:rStyle w:val="OperatorTok"/>
        </w:rPr>
        <w:t xml:space="preserve">=</w:t>
      </w:r>
      <w:r>
        <w:rPr>
          <w:rStyle w:val="NormalTok"/>
        </w:rPr>
        <w:t xml:space="preserve"> </w:t>
      </w:r>
      <w:r>
        <w:rPr>
          <w:rStyle w:val="StringTok"/>
        </w:rPr>
        <w:t xml:space="preserve">'POST'</w:t>
      </w:r>
      <w:r>
        <w:br/>
      </w:r>
      <w:r>
        <w:rPr>
          <w:rStyle w:val="Variable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'/api/logs'</w:t>
      </w:r>
      <w:r>
        <w:br/>
      </w:r>
      <w:r>
        <w:rPr>
          <w:rStyle w:val="VariableTok"/>
        </w:rPr>
        <w:t xml:space="preserve">$rfc1123date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UtcNow</w:t>
      </w:r>
      <w:r>
        <w:rPr>
          <w:rStyle w:val="OperatorTok"/>
        </w:rPr>
        <w:t xml:space="preserve">.</w:t>
      </w:r>
      <w:r>
        <w:rPr>
          <w:rStyle w:val="FunctionTok"/>
        </w:rPr>
        <w:t xml:space="preserve">ToString</w:t>
      </w:r>
      <w:r>
        <w:rPr>
          <w:rStyle w:val="OperatorTok"/>
        </w:rPr>
        <w:t xml:space="preserve">(</w:t>
      </w:r>
      <w:r>
        <w:rPr>
          <w:rStyle w:val="StringTok"/>
        </w:rPr>
        <w:t xml:space="preserve">'r'</w:t>
      </w:r>
      <w:r>
        <w:rPr>
          <w:rStyle w:val="OperatorTok"/>
        </w:rPr>
        <w:t xml:space="preserve">)</w:t>
      </w:r>
      <w:r>
        <w:br/>
      </w:r>
      <w:r>
        <w:rPr>
          <w:rStyle w:val="VariableTok"/>
        </w:rPr>
        <w:t xml:space="preserve">$body</w:t>
      </w:r>
      <w:r>
        <w:rPr>
          <w:rStyle w:val="NormalTok"/>
        </w:rPr>
        <w:t xml:space="preserve">        </w:t>
      </w:r>
      <w:r>
        <w:rPr>
          <w:rStyle w:val="OperatorTok"/>
        </w:rPr>
        <w:t xml:space="preserve">=</w:t>
      </w:r>
      <w:r>
        <w:rPr>
          <w:rStyle w:val="NormalTok"/>
        </w:rPr>
        <w:t xml:space="preserve"> </w:t>
      </w:r>
      <w:r>
        <w:rPr>
          <w:rStyle w:val="VariableTok"/>
        </w:rPr>
        <w:t xml:space="preserve">$logEntry</w:t>
      </w:r>
      <w:r>
        <w:br/>
      </w:r>
      <w:r>
        <w:rPr>
          <w:rStyle w:val="VariableTok"/>
        </w:rPr>
        <w:t xml:space="preserve">$contentLength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GetByteCount</w:t>
      </w:r>
      <w:r>
        <w:rPr>
          <w:rStyle w:val="OperatorTok"/>
        </w:rPr>
        <w:t xml:space="preserve">(</w:t>
      </w:r>
      <w:r>
        <w:rPr>
          <w:rStyle w:val="VariableTok"/>
        </w:rPr>
        <w:t xml:space="preserve">$body</w:t>
      </w:r>
      <w:r>
        <w:rPr>
          <w:rStyle w:val="OperatorTok"/>
        </w:rPr>
        <w:t xml:space="preserve">)</w:t>
      </w:r>
      <w:r>
        <w:br/>
      </w:r>
      <w:r>
        <w:br/>
      </w:r>
      <w:r>
        <w:rPr>
          <w:rStyle w:val="VariableTok"/>
        </w:rPr>
        <w:t xml:space="preserve">$signatureString</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$method</w:t>
      </w:r>
      <w:r>
        <w:rPr>
          <w:rStyle w:val="CharTok"/>
        </w:rPr>
        <w:t xml:space="preserve">`n</w:t>
      </w:r>
      <w:r>
        <w:rPr>
          <w:rStyle w:val="VariableTok"/>
        </w:rPr>
        <w:t xml:space="preserve">$contentLength</w:t>
      </w:r>
      <w:r>
        <w:rPr>
          <w:rStyle w:val="CharTok"/>
        </w:rPr>
        <w:t xml:space="preserve">`n</w:t>
      </w:r>
      <w:r>
        <w:rPr>
          <w:rStyle w:val="VariableTok"/>
        </w:rPr>
        <w:t xml:space="preserve">$contentType</w:t>
      </w:r>
      <w:r>
        <w:rPr>
          <w:rStyle w:v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"x-ms-date:</w:t>
      </w:r>
      <w:r>
        <w:rPr>
          <w:rStyle w:val="VariableTok"/>
        </w:rPr>
        <w:t xml:space="preserve">$rfc1123date</w:t>
      </w:r>
      <w:r>
        <w:rPr>
          <w:rStyle w:val="CharTok"/>
        </w:rPr>
        <w:t xml:space="preserve">`n</w:t>
      </w:r>
      <w:r>
        <w:rPr>
          <w:rStyle w:val="VariableTok"/>
        </w:rPr>
        <w:t xml:space="preserve">$resource</w:t>
      </w:r>
      <w:r>
        <w:rPr>
          <w:rStyle w:val="StringTok"/>
        </w:rPr>
        <w:t xml:space="preserve">"</w:t>
      </w:r>
      <w:r>
        <w:br/>
      </w:r>
      <w:r>
        <w:rPr>
          <w:rStyle w:val="VariableTok"/>
        </w:rPr>
        <w:t xml:space="preserve">$bytesToHash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VariableTok"/>
        </w:rPr>
        <w:t xml:space="preserve">$signatureString</w:t>
      </w:r>
      <w:r>
        <w:rPr>
          <w:rStyle w:val="OperatorTok"/>
        </w:rPr>
        <w:t xml:space="preserve">)</w:t>
      </w:r>
      <w:r>
        <w:br/>
      </w:r>
      <w:r>
        <w:rPr>
          <w:rStyle w:val="VariableTok"/>
        </w:rPr>
        <w:t xml:space="preserve">$keyBytes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$WorkspaceKey</w:t>
      </w:r>
      <w:r>
        <w:rPr>
          <w:rStyle w:val="OperatorTok"/>
        </w:rPr>
        <w:t xml:space="preserve">)</w:t>
      </w:r>
      <w:r>
        <w:br/>
      </w:r>
      <w:r>
        <w:rPr>
          <w:rStyle w:val="VariableTok"/>
        </w:rPr>
        <w:t xml:space="preserve">$hmacsha256</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HMACSHA256</w:t>
      </w:r>
      <w:r>
        <w:br/>
      </w:r>
      <w:r>
        <w:rPr>
          <w:rStyle w:val="VariableTok"/>
        </w:rPr>
        <w:t xml:space="preserve">$hmacsha256</w:t>
      </w:r>
      <w:r>
        <w:rPr>
          <w:rStyle w:val="OperatorTok"/>
        </w:rPr>
        <w:t xml:space="preserve">.</w:t>
      </w:r>
      <w:r>
        <w:rPr>
          <w:rStyle w:val="FunctionTok"/>
        </w:rPr>
        <w:t xml:space="preserve">Key</w:t>
      </w:r>
      <w:r>
        <w:rPr>
          <w:rStyle w:val="NormalTok"/>
        </w:rPr>
        <w:t xml:space="preserve">  </w:t>
      </w:r>
      <w:r>
        <w:rPr>
          <w:rStyle w:val="OperatorTok"/>
        </w:rPr>
        <w:t xml:space="preserve">=</w:t>
      </w:r>
      <w:r>
        <w:rPr>
          <w:rStyle w:val="NormalTok"/>
        </w:rPr>
        <w:t xml:space="preserve"> </w:t>
      </w:r>
      <w:r>
        <w:rPr>
          <w:rStyle w:val="VariableTok"/>
        </w:rPr>
        <w:t xml:space="preserve">$keyBytes</w:t>
      </w:r>
      <w:r>
        <w:br/>
      </w:r>
      <w:r>
        <w:rPr>
          <w:rStyle w:val="VariableTok"/>
        </w:rPr>
        <w:t xml:space="preserve">$signature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$hmacsha256</w:t>
      </w:r>
      <w:r>
        <w:rPr>
          <w:rStyle w:val="OperatorTok"/>
        </w:rPr>
        <w:t xml:space="preserve">.</w:t>
      </w:r>
      <w:r>
        <w:rPr>
          <w:rStyle w:val="FunctionTok"/>
        </w:rPr>
        <w:t xml:space="preserve">ComputeHash</w:t>
      </w:r>
      <w:r>
        <w:rPr>
          <w:rStyle w:val="OperatorTok"/>
        </w:rPr>
        <w:t xml:space="preserve">(</w:t>
      </w:r>
      <w:r>
        <w:rPr>
          <w:rStyle w:val="VariableTok"/>
        </w:rPr>
        <w:t xml:space="preserve">$bytesToHash</w:t>
      </w:r>
      <w:r>
        <w:rPr>
          <w:rStyle w:val="OperatorTok"/>
        </w:rPr>
        <w:t xml:space="preserve">))</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"SharedKey </w:t>
      </w:r>
      <w:r>
        <w:rPr>
          <w:rStyle w:val="PreprocessorTok"/>
        </w:rPr>
        <w:t xml:space="preserve">${</w:t>
      </w:r>
      <w:r>
        <w:rPr>
          <w:rStyle w:val="VariableTok"/>
        </w:rPr>
        <w:t xml:space="preserve">WorkspaceId</w:t>
      </w:r>
      <w:r>
        <w:rPr>
          <w:rStyle w:val="PreprocessorTok"/>
        </w:rPr>
        <w:t xml:space="preserve">}</w:t>
      </w:r>
      <w:r>
        <w:rPr>
          <w:rStyle w:val="StringTok"/>
        </w:rPr>
        <w:t xml:space="preserve">:</w:t>
      </w:r>
      <w:r>
        <w:rPr>
          <w:rStyle w:val="PreprocessorTok"/>
        </w:rPr>
        <w:t xml:space="preserve">${</w:t>
      </w:r>
      <w:r>
        <w:rPr>
          <w:rStyle w:val="VariableTok"/>
        </w:rPr>
        <w:t xml:space="preserve">signature</w:t>
      </w:r>
      <w:r>
        <w:rPr>
          <w:rStyle w:val="PreprocessorTok"/>
        </w:rPr>
        <w:t xml:space="preserve">}</w:t>
      </w:r>
      <w:r>
        <w:rPr>
          <w:rStyle w:val="StringTok"/>
        </w:rPr>
        <w:t xml:space="preserve">"</w:t>
      </w:r>
      <w:r>
        <w:br/>
      </w:r>
      <w:r>
        <w:rPr>
          <w:rStyle w:val="NormalTok"/>
        </w:rPr>
        <w:t xml:space="preserve">    </w:t>
      </w:r>
      <w:r>
        <w:rPr>
          <w:rStyle w:val="StringTok"/>
        </w:rPr>
        <w:t xml:space="preserve">'Log-Type'</w:t>
      </w:r>
      <w:r>
        <w:rPr>
          <w:rStyle w:val="NormalTok"/>
        </w:rPr>
        <w:t xml:space="preserve">      </w:t>
      </w:r>
      <w:r>
        <w:rPr>
          <w:rStyle w:val="OperatorTok"/>
        </w:rPr>
        <w:t xml:space="preserve">=</w:t>
      </w:r>
      <w:r>
        <w:rPr>
          <w:rStyle w:val="NormalTok"/>
        </w:rPr>
        <w:t xml:space="preserve"> </w:t>
      </w:r>
      <w:r>
        <w:rPr>
          <w:rStyle w:val="StringTok"/>
        </w:rPr>
        <w:t xml:space="preserve">'VulnCompliance'</w:t>
      </w:r>
      <w:r>
        <w:br/>
      </w:r>
      <w:r>
        <w:rPr>
          <w:rStyle w:val="NormalTok"/>
        </w:rPr>
        <w:t xml:space="preserve">    </w:t>
      </w:r>
      <w:r>
        <w:rPr>
          <w:rStyle w:val="StringTok"/>
        </w:rPr>
        <w:t xml:space="preserve">'x-ms-date'</w:t>
      </w:r>
      <w:r>
        <w:rPr>
          <w:rStyle w:val="NormalTok"/>
        </w:rPr>
        <w:t xml:space="preserve">     </w:t>
      </w:r>
      <w:r>
        <w:rPr>
          <w:rStyle w:val="OperatorTok"/>
        </w:rPr>
        <w:t xml:space="preserve">=</w:t>
      </w:r>
      <w:r>
        <w:rPr>
          <w:rStyle w:val="NormalTok"/>
        </w:rPr>
        <w:t xml:space="preserve"> </w:t>
      </w:r>
      <w:r>
        <w:rPr>
          <w:rStyle w:val="VariableTok"/>
        </w:rPr>
        <w:t xml:space="preserve">$rfc1123date</w:t>
      </w:r>
      <w:r>
        <w:br/>
      </w:r>
      <w:r>
        <w:rPr>
          <w:rStyle w:val="NormalTok"/>
        </w:rPr>
        <w:t xml:space="preserve">    </w:t>
      </w:r>
      <w:r>
        <w:rPr>
          <w:rStyle w:val="StringTok"/>
        </w:rPr>
        <w:t xml:space="preserve">'time-generated-field'</w:t>
      </w:r>
      <w:r>
        <w:rPr>
          <w:rStyle w:val="NormalTok"/>
        </w:rPr>
        <w:t xml:space="preserve"> </w:t>
      </w:r>
      <w:r>
        <w:rPr>
          <w:rStyle w:val="OperatorTok"/>
        </w:rPr>
        <w:t xml:space="preserve">=</w:t>
      </w:r>
      <w:r>
        <w:rPr>
          <w:rStyle w:val="NormalTok"/>
        </w:rPr>
        <w:t xml:space="preserve"> </w:t>
      </w:r>
      <w:r>
        <w:rPr>
          <w:rStyle w:val="StringTok"/>
        </w:rPr>
        <w:t xml:space="preserve">'AsOfDate'</w:t>
      </w:r>
      <w:r>
        <w:br/>
      </w:r>
      <w:r>
        <w:rPr>
          <w:rStyle w:val="OperatorTok"/>
        </w:rPr>
        <w:t xml:space="preserve">}</w:t>
      </w:r>
      <w:r>
        <w:br/>
      </w:r>
      <w:r>
        <w:br/>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"https://</w:t>
      </w:r>
      <w:r>
        <w:rPr>
          <w:rStyle w:val="VariableTok"/>
        </w:rPr>
        <w:t xml:space="preserve">$WorkspaceId</w:t>
      </w:r>
      <w:r>
        <w:rPr>
          <w:rStyle w:val="StringTok"/>
        </w:rPr>
        <w:t xml:space="preserve">.ods.opinsights.azure.com</w:t>
      </w:r>
      <w:r>
        <w:rPr>
          <w:rStyle w:val="VariableTok"/>
        </w:rPr>
        <w:t xml:space="preserve">$resource</w:t>
      </w:r>
      <w:r>
        <w:rPr>
          <w:rStyle w:val="StringTok"/>
        </w:rPr>
        <w:t xml:space="preserve">?api-version=2016-04-01"</w:t>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ContentType </w:t>
      </w:r>
      <w:r>
        <w:rPr>
          <w:rStyle w:val="VariableTok"/>
        </w:rPr>
        <w:t xml:space="preserve">$contentType</w:t>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FunctionTok"/>
        </w:rPr>
        <w:t xml:space="preserve">Write-Host</w:t>
      </w:r>
      <w:r>
        <w:rPr>
          <w:rStyle w:val="NormalTok"/>
        </w:rPr>
        <w:t xml:space="preserve"> </w:t>
      </w:r>
      <w:r>
        <w:rPr>
          <w:rStyle w:val="StringTok"/>
        </w:rPr>
        <w:t xml:space="preserve">"Compliance summary sent to Log Analytics workspace: </w:t>
      </w:r>
      <w:r>
        <w:rPr>
          <w:rStyle w:val="VariableTok"/>
        </w:rPr>
        <w:t xml:space="preserve">$WorkspaceId</w:t>
      </w:r>
      <w:r>
        <w:rPr>
          <w:rStyle w:val="StringTok"/>
        </w:rPr>
        <w:t xml:space="preserve">"</w:t>
      </w:r>
    </w:p>
    <w:p>
      <w:r>
        <w:pict>
          <v:rect style="width:0;height:1.5pt" o:hralign="center" o:hrstd="t" o:hr="t"/>
        </w:pict>
      </w:r>
    </w:p>
    <w:bookmarkEnd w:id="79"/>
    <w:bookmarkEnd w:id="80"/>
    <w:bookmarkStart w:id="81" w:name="nist-control-closure-table"/>
    <w:p>
      <w:pPr>
        <w:pStyle w:val="Heading1"/>
      </w:pPr>
      <w:r>
        <w:t xml:space="preserve">NIST Control Closure Table</w:t>
      </w:r>
    </w:p>
    <w:p>
      <w:pPr>
        <w:pStyle w:val="FirstParagraph"/>
      </w:pPr>
      <w:r>
        <w:t xml:space="preserve">The following table maps each NIST SP 800-53 Rev 5 control addressed by this implementation to the specific mechanism that satisfies it, the state before this implementation, and the authoritative guidance that establishes the requirement.</w:t>
      </w:r>
    </w:p>
    <w:p>
      <w:pPr>
        <w:pStyle w:val="BlockText"/>
      </w:pPr>
      <w:r>
        <w:rPr>
          <w:b/>
          <w:bCs/>
        </w:rPr>
        <w:t xml:space="preserve">Closure Necessity — RA-5 on CM-8’s inventory.</w:t>
      </w:r>
      <w:r>
        <w:t xml:space="preserve"> </w:t>
      </w:r>
      <w:r>
        <w:t xml:space="preserve">RA-5 requires vulnerability monitoring of the system and its hosted applications — the whole system, not the subset a scanner happens to find. A scanner enumerates only what answers it; it measures drift from an inventory, it cannot author one. The authoritative inventory is CM-8, and CM-8 closes only through the IPAM/DDI plane established in Vol I Book 01: every address, lease, and name a component holds exists in that plane before any scan runs. The Arc enrollment gate in this document inherits the same property — the scan scope and the inventory are the same list. No scanner configuration, scan cadence, or scoring model closes RA-5 over components the inventory cannot enumerate: you cannot scan what you cannot enumerate.</w:t>
      </w:r>
    </w:p>
    <w:p>
      <w:pPr>
        <w:pStyle w:val="TableCaption"/>
      </w:pPr>
      <w:r>
        <w:t xml:space="preserve">NIST SP 800-53 Rev 5 control closure — Vol III Book 02 Vulnerability Management</w:t>
      </w:r>
    </w:p>
    <w:tbl>
      <w:tblPr>
        <w:tblStyle w:val="Table"/>
        <w:tblW w:type="pct" w:w="5000"/>
        <w:tblLayout w:type="fixed"/>
        <w:tblLook w:firstRow="1" w:lastRow="0" w:firstColumn="0" w:lastColumn="0" w:noHBand="0" w:noVBand="0" w:val="0020"/>
        <w:tblCaption w:val="NIST SP 800-53 Rev 5 control closure — Vol III Book 02 Vulnerability Management"/>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Implementation</w:t>
            </w:r>
          </w:p>
        </w:tc>
        <w:tc>
          <w:tcPr/>
          <w:p>
            <w:pPr>
              <w:pStyle w:val="Compact"/>
            </w:pPr>
            <w:r>
              <w:t xml:space="preserve">With This Implementation</w:t>
            </w:r>
          </w:p>
        </w:tc>
        <w:tc>
          <w:tcPr/>
          <w:p>
            <w:pPr>
              <w:pStyle w:val="Compact"/>
            </w:pPr>
            <w:r>
              <w:t xml:space="preserve">Authority</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Quarterly scans from manual Nessus runs; cloud assets excluded; no continuous monitoring</w:t>
            </w:r>
          </w:p>
        </w:tc>
        <w:tc>
          <w:tcPr/>
          <w:p>
            <w:pPr>
              <w:pStyle w:val="Compact"/>
            </w:pPr>
            <w:r>
              <w:t xml:space="preserve">Continuous scanning via MDVM through Arc AMA channel; all Arc-enrolled assets covered automatically; daily finding export</w:t>
            </w:r>
          </w:p>
        </w:tc>
        <w:tc>
          <w:tcPr/>
          <w:p>
            <w:pPr>
              <w:pStyle w:val="Compact"/>
            </w:pPr>
            <w:r>
              <w:t xml:space="preserve">NIST SP 800-53 Rev 5 RA-5; FedRAMP Moderate baseline</w:t>
            </w:r>
          </w:p>
        </w:tc>
      </w:tr>
      <w:tr>
        <w:tc>
          <w:tcPr/>
          <w:p>
            <w:pPr>
              <w:pStyle w:val="Compact"/>
            </w:pPr>
            <w:r>
              <w:t xml:space="preserve">RA-5(2)</w:t>
            </w:r>
          </w:p>
        </w:tc>
        <w:tc>
          <w:tcPr/>
          <w:p>
            <w:pPr>
              <w:pStyle w:val="Compact"/>
            </w:pPr>
            <w:r>
              <w:t xml:space="preserve">Update Vulnerabilities to Be Scanned</w:t>
            </w:r>
          </w:p>
        </w:tc>
        <w:tc>
          <w:tcPr/>
          <w:p>
            <w:pPr>
              <w:pStyle w:val="Compact"/>
            </w:pPr>
            <w:r>
              <w:t xml:space="preserve">CVE database updated with scanner subscription renewal cycle; no KEV cross-reference</w:t>
            </w:r>
          </w:p>
        </w:tc>
        <w:tc>
          <w:tcPr/>
          <w:p>
            <w:pPr>
              <w:pStyle w:val="Compact"/>
            </w:pPr>
            <w:r>
              <w:t xml:space="preserve">KEV catalog pulled daily; CVSS scores updated via MDVM auto-sync; scan scope expands automatically as Arc inventory grows</w:t>
            </w:r>
          </w:p>
        </w:tc>
        <w:tc>
          <w:tcPr/>
          <w:p>
            <w:pPr>
              <w:pStyle w:val="Compact"/>
            </w:pPr>
            <w:r>
              <w:t xml:space="preserve">NIST SP 800-53 Rev 5 RA-5(2)</w:t>
            </w:r>
          </w:p>
        </w:tc>
      </w:tr>
      <w:tr>
        <w:tc>
          <w:tcPr/>
          <w:p>
            <w:pPr>
              <w:pStyle w:val="Compact"/>
            </w:pPr>
            <w:r>
              <w:t xml:space="preserve">RA-5(5)</w:t>
            </w:r>
          </w:p>
        </w:tc>
        <w:tc>
          <w:tcPr/>
          <w:p>
            <w:pPr>
              <w:pStyle w:val="Compact"/>
            </w:pPr>
            <w:r>
              <w:t xml:space="preserve">Privileged Access</w:t>
            </w:r>
          </w:p>
        </w:tc>
        <w:tc>
          <w:tcPr/>
          <w:p>
            <w:pPr>
              <w:pStyle w:val="Compact"/>
            </w:pPr>
            <w:r>
              <w:t xml:space="preserve">Scanner requires separate privileged service account per target system; credentials managed manually</w:t>
            </w:r>
          </w:p>
        </w:tc>
        <w:tc>
          <w:tcPr/>
          <w:p>
            <w:pPr>
              <w:pStyle w:val="Compact"/>
            </w:pPr>
            <w:r>
              <w:t xml:space="preserve">AMA channel authenticated via Azure Managed Identity; no per-system credential required; least-privilege Arc enrollment role</w:t>
            </w:r>
          </w:p>
        </w:tc>
        <w:tc>
          <w:tcPr/>
          <w:p>
            <w:pPr>
              <w:pStyle w:val="Compact"/>
            </w:pPr>
            <w:r>
              <w:t xml:space="preserve">NIST SP 800-53 Rev 5 RA-5(5)</w:t>
            </w:r>
          </w:p>
        </w:tc>
      </w:tr>
      <w:tr>
        <w:tc>
          <w:tcPr/>
          <w:p>
            <w:pPr>
              <w:pStyle w:val="Compact"/>
            </w:pPr>
            <w:r>
              <w:t xml:space="preserve">SI-2</w:t>
            </w:r>
          </w:p>
        </w:tc>
        <w:tc>
          <w:tcPr/>
          <w:p>
            <w:pPr>
              <w:pStyle w:val="Compact"/>
            </w:pPr>
            <w:r>
              <w:t xml:space="preserve">Flaw Remediation</w:t>
            </w:r>
          </w:p>
        </w:tc>
        <w:tc>
          <w:tcPr/>
          <w:p>
            <w:pPr>
              <w:pStyle w:val="Compact"/>
            </w:pPr>
            <w:r>
              <w:t xml:space="preserve">Patch SLA in policy document; no automated tracking; no machine-readable compliance record</w:t>
            </w:r>
          </w:p>
        </w:tc>
        <w:tc>
          <w:tcPr/>
          <w:p>
            <w:pPr>
              <w:pStyle w:val="Compact"/>
            </w:pPr>
            <w:r>
              <w:t xml:space="preserve">BOD 26-04 risk-based SLA tiers implemented; SLA due date calculated per CVE-machine pair; daily SLA breach report; remediation tracked to patch date</w:t>
            </w:r>
          </w:p>
        </w:tc>
        <w:tc>
          <w:tcPr/>
          <w:p>
            <w:pPr>
              <w:pStyle w:val="Compact"/>
            </w:pPr>
            <w:r>
              <w:t xml:space="preserve">NIST SP 800-53 Rev 5 SI-2; CISA BOD 26-04</w:t>
            </w:r>
          </w:p>
        </w:tc>
      </w:tr>
      <w:tr>
        <w:tc>
          <w:tcPr/>
          <w:p>
            <w:pPr>
              <w:pStyle w:val="Compact"/>
            </w:pPr>
            <w:r>
              <w:t xml:space="preserve">SI-2(2)</w:t>
            </w:r>
          </w:p>
        </w:tc>
        <w:tc>
          <w:tcPr/>
          <w:p>
            <w:pPr>
              <w:pStyle w:val="Compact"/>
            </w:pPr>
            <w:r>
              <w:t xml:space="preserve">Automated Flaw Remediation Status</w:t>
            </w:r>
          </w:p>
        </w:tc>
        <w:tc>
          <w:tcPr/>
          <w:p>
            <w:pPr>
              <w:pStyle w:val="Compact"/>
            </w:pPr>
            <w:r>
              <w:t xml:space="preserve">No automated status; compliance checked only at assessment time</w:t>
            </w:r>
          </w:p>
        </w:tc>
        <w:tc>
          <w:tcPr/>
          <w:p>
            <w:pPr>
              <w:pStyle w:val="Compact"/>
            </w:pPr>
            <w:r>
              <w:t xml:space="preserve">Daily patch-queue JSON provides automated flaw remediation status per machine; Log Analytics workbook surfaces operational view; 90-day trend available on demand</w:t>
            </w:r>
          </w:p>
        </w:tc>
        <w:tc>
          <w:tcPr/>
          <w:p>
            <w:pPr>
              <w:pStyle w:val="Compact"/>
            </w:pPr>
            <w:r>
              <w:t xml:space="preserve">NIST SP 800-53 Rev 5 SI-2(2)</w:t>
            </w:r>
          </w:p>
        </w:tc>
      </w:tr>
      <w:tr>
        <w:tc>
          <w:tcPr/>
          <w:p>
            <w:pPr>
              <w:pStyle w:val="Compact"/>
            </w:pPr>
            <w:r>
              <w:t xml:space="preserve">SI-5</w:t>
            </w:r>
          </w:p>
        </w:tc>
        <w:tc>
          <w:tcPr/>
          <w:p>
            <w:pPr>
              <w:pStyle w:val="Compact"/>
            </w:pPr>
            <w:r>
              <w:t xml:space="preserve">Security Alerts, Advisories, and Directives</w:t>
            </w:r>
          </w:p>
        </w:tc>
        <w:tc>
          <w:tcPr/>
          <w:p>
            <w:pPr>
              <w:pStyle w:val="Compact"/>
            </w:pPr>
            <w:r>
              <w:t xml:space="preserve">CISA KEV alerts consumed manually via email subscription; no systematic cross-reference against estate</w:t>
            </w:r>
          </w:p>
        </w:tc>
        <w:tc>
          <w:tcPr/>
          <w:p>
            <w:pPr>
              <w:pStyle w:val="Compact"/>
            </w:pPr>
            <w:r>
              <w:t xml:space="preserve">CISA KEV JSON feed pulled daily; every new KEV entry cross-referenced against all MDVM findings within 24 hours; BOD 26-04 remediation timeline auto-assigned</w:t>
            </w:r>
          </w:p>
        </w:tc>
        <w:tc>
          <w:tcPr/>
          <w:p>
            <w:pPr>
              <w:pStyle w:val="Compact"/>
            </w:pPr>
            <w:r>
              <w:t xml:space="preserve">NIST SP 800-53 Rev 5 SI-5; CISA BOD 26-04</w:t>
            </w:r>
          </w:p>
        </w:tc>
      </w:tr>
      <w:tr>
        <w:tc>
          <w:tcPr/>
          <w:p>
            <w:pPr>
              <w:pStyle w:val="Compact"/>
            </w:pPr>
            <w:r>
              <w:t xml:space="preserve">CM-7</w:t>
            </w:r>
          </w:p>
        </w:tc>
        <w:tc>
          <w:tcPr/>
          <w:p>
            <w:pPr>
              <w:pStyle w:val="Compact"/>
            </w:pPr>
            <w:r>
              <w:t xml:space="preserve">Least Functionality</w:t>
            </w:r>
          </w:p>
        </w:tc>
        <w:tc>
          <w:tcPr/>
          <w:p>
            <w:pPr>
              <w:pStyle w:val="Compact"/>
            </w:pPr>
            <w:r>
              <w:t xml:space="preserve">Software inventory not maintained continuously; unauthorized software discovered only during periodic scans</w:t>
            </w:r>
          </w:p>
        </w:tc>
        <w:tc>
          <w:tcPr/>
          <w:p>
            <w:pPr>
              <w:pStyle w:val="Compact"/>
            </w:pPr>
            <w:r>
              <w:t xml:space="preserve">MDVM software inventory via Arc AMA channel provides continuous installed-software list; unauthorized software flagged against approved baseline</w:t>
            </w:r>
          </w:p>
        </w:tc>
        <w:tc>
          <w:tcPr/>
          <w:p>
            <w:pPr>
              <w:pStyle w:val="Compact"/>
            </w:pPr>
            <w:r>
              <w:t xml:space="preserve">NIST SP 800-53 Rev 5 CM-7</w:t>
            </w:r>
          </w:p>
        </w:tc>
      </w:tr>
      <w:tr>
        <w:tc>
          <w:tcPr/>
          <w:p>
            <w:pPr>
              <w:pStyle w:val="Compact"/>
            </w:pPr>
            <w:r>
              <w:t xml:space="preserve">CM-7(1)</w:t>
            </w:r>
          </w:p>
        </w:tc>
        <w:tc>
          <w:tcPr/>
          <w:p>
            <w:pPr>
              <w:pStyle w:val="Compact"/>
            </w:pPr>
            <w:r>
              <w:t xml:space="preserve">Periodic Review</w:t>
            </w:r>
          </w:p>
        </w:tc>
        <w:tc>
          <w:tcPr/>
          <w:p>
            <w:pPr>
              <w:pStyle w:val="Compact"/>
            </w:pPr>
            <w:r>
              <w:t xml:space="preserve">Annual review of enabled functions and services; gaps between reviews</w:t>
            </w:r>
          </w:p>
        </w:tc>
        <w:tc>
          <w:tcPr/>
          <w:p>
            <w:pPr>
              <w:pStyle w:val="Compact"/>
            </w:pPr>
            <w:r>
              <w:t xml:space="preserve">MDVM configuration assessment runs continuously; deviations from security baseline flagged in Defender portal; review evidence available at any time</w:t>
            </w:r>
          </w:p>
        </w:tc>
        <w:tc>
          <w:tcPr/>
          <w:p>
            <w:pPr>
              <w:pStyle w:val="Compact"/>
            </w:pPr>
            <w:r>
              <w:t xml:space="preserve">NIST SP 800-53 Rev 5 CM-7(1)</w:t>
            </w:r>
          </w:p>
        </w:tc>
      </w:tr>
    </w:tbl>
    <w:p>
      <w:r>
        <w:pict>
          <v:rect style="width:0;height:1.5pt" o:hralign="center" o:hrstd="t" o:hr="t"/>
        </w:pict>
      </w:r>
    </w:p>
    <w:bookmarkEnd w:id="81"/>
    <w:bookmarkStart w:id="83" w:name="fedramp-20x-ksi-alignment"/>
    <w:p>
      <w:pPr>
        <w:pStyle w:val="Heading1"/>
      </w:pPr>
      <w:r>
        <w:t xml:space="preserve">FedRAMP 20x KSI Alignment</w:t>
      </w:r>
    </w:p>
    <w:p>
      <w:pPr>
        <w:pStyle w:val="FirstParagraph"/>
      </w:pPr>
      <w:r>
        <w:rPr>
          <w:b/>
          <w:bCs/>
        </w:rPr>
        <w:t xml:space="preserve">FedRAMP 20x KSI Alignment — Vol III Book 02 Vulnerability Management</w:t>
      </w:r>
    </w:p>
    <w:p>
      <w:pPr>
        <w:pStyle w:val="BodyText"/>
      </w:pPr>
      <w:r>
        <w:t xml:space="preserve">FedRAMP 20x replaces annual point-in-time assessment with continuous Key Security Indicators (KSIs) evaluated against machine-readable evidence streams. The vulnerability management implementation in this document produces the following continuous KSI artifacts:</w:t>
      </w:r>
    </w:p>
    <w:p>
      <w:pPr>
        <w:pStyle w:val="BodyText"/>
      </w:pPr>
      <w:r>
        <w:rPr>
          <w:b/>
          <w:bCs/>
        </w:rPr>
        <w:t xml:space="preserve">RA-5 KSI — Vulnerability Scan Currency:</w:t>
      </w:r>
      <w:r>
        <w:t xml:space="preserve"> </w:t>
      </w:r>
      <w:r>
        <w:t xml:space="preserve">The daily MDVM scan run produces a timestamped finding list. The KSI check verifies that a scan completed within the past 24 hours for every Arc-enrolled asset. Coverage gaps (assets enrolled in Arc but absent from the MDVM finding list for more than 72 hours) trigger an automated alert.</w:t>
      </w:r>
    </w:p>
    <w:p>
      <w:pPr>
        <w:pStyle w:val="BodyText"/>
      </w:pPr>
      <w:r>
        <w:rPr>
          <w:b/>
          <w:bCs/>
        </w:rPr>
        <w:t xml:space="preserve">SI-2 KSI — Patch SLA Compliance Rate:</w:t>
      </w:r>
      <w:r>
        <w:t xml:space="preserve"> </w:t>
      </w:r>
      <w:r>
        <w:t xml:space="preserve">The daily compliance summary JSON field</w:t>
      </w:r>
      <w:r>
        <w:t xml:space="preserve"> </w:t>
      </w:r>
      <w:r>
        <w:rPr>
          <w:rStyle w:val="VerbatimChar"/>
        </w:rPr>
        <w:t xml:space="preserve">PatchComplianceRate</w:t>
      </w:r>
      <w:r>
        <w:t xml:space="preserve"> </w:t>
      </w:r>
      <w:r>
        <w:t xml:space="preserve">is the SI-2 KSI value. The Agency program targets 95% compliance or higher across the entire active finding population (all priority tiers, P0 through P5, as the script computes it — note P0/P1 are KEV findings of any severity) — an operational target, not a published FedRAMP 20x threshold. The</w:t>
      </w:r>
      <w:r>
        <w:t xml:space="preserve"> </w:t>
      </w:r>
      <w:r>
        <w:rPr>
          <w:rStyle w:val="VerbatimChar"/>
        </w:rPr>
        <w:t xml:space="preserve">SLABreachedKEV</w:t>
      </w:r>
      <w:r>
        <w:t xml:space="preserve"> </w:t>
      </w:r>
      <w:r>
        <w:t xml:space="preserve">field must remain at zero to satisfy BOD 26-04.</w:t>
      </w:r>
    </w:p>
    <w:p>
      <w:pPr>
        <w:pStyle w:val="BodyText"/>
      </w:pPr>
      <w:r>
        <w:rPr>
          <w:b/>
          <w:bCs/>
        </w:rPr>
        <w:t xml:space="preserve">SI-5 KSI — KEV Remediation Timeliness:</w:t>
      </w:r>
      <w:r>
        <w:t xml:space="preserve"> </w:t>
      </w:r>
      <w:r>
        <w:t xml:space="preserve">Every KEV catalog entry that intersects with an MDVM finding carries a calculated SLA due date. The KSI tracks the percentage of KEV findings remediated within their BOD 26-04 window. Any KEV finding that exceeds its due date and is not remediated generates a mandatory reporting event.</w:t>
      </w:r>
    </w:p>
    <w:p>
      <w:pPr>
        <w:pStyle w:val="BodyText"/>
      </w:pPr>
      <w:r>
        <w:rPr>
          <w:b/>
          <w:bCs/>
        </w:rPr>
        <w:t xml:space="preserve">Evidence Package for Assessment:</w:t>
      </w:r>
      <w:r>
        <w:t xml:space="preserve"> </w:t>
      </w:r>
      <w:r>
        <w:t xml:space="preserve">-</w:t>
      </w:r>
      <w:r>
        <w:t xml:space="preserve"> </w:t>
      </w:r>
      <w:r>
        <w:rPr>
          <w:rStyle w:val="VerbatimChar"/>
        </w:rPr>
        <w:t xml:space="preserve">patch-queue-&lt;date&gt;.json</w:t>
      </w:r>
      <w:r>
        <w:t xml:space="preserve"> </w:t>
      </w:r>
      <w:r>
        <w:t xml:space="preserve">— Full CVE-machine finding list with priority and SLA assignments</w:t>
      </w:r>
      <w:r>
        <w:t xml:space="preserve"> </w:t>
      </w:r>
      <w:r>
        <w:t xml:space="preserve">-</w:t>
      </w:r>
      <w:r>
        <w:t xml:space="preserve"> </w:t>
      </w:r>
      <w:r>
        <w:rPr>
          <w:rStyle w:val="VerbatimChar"/>
        </w:rPr>
        <w:t xml:space="preserve">compliance-summary-&lt;date&gt;.json</w:t>
      </w:r>
      <w:r>
        <w:t xml:space="preserve"> </w:t>
      </w:r>
      <w:r>
        <w:t xml:space="preserve">— Daily summary metrics (the primary KSI input)</w:t>
      </w:r>
      <w:r>
        <w:t xml:space="preserve"> </w:t>
      </w:r>
      <w:r>
        <w:t xml:space="preserve">-</w:t>
      </w:r>
      <w:r>
        <w:t xml:space="preserve"> </w:t>
      </w:r>
      <w:r>
        <w:rPr>
          <w:rStyle w:val="VerbatimChar"/>
        </w:rPr>
        <w:t xml:space="preserve">compliance-trend-90day.csv</w:t>
      </w:r>
      <w:r>
        <w:t xml:space="preserve"> </w:t>
      </w:r>
      <w:r>
        <w:t xml:space="preserve">— 90-day rolling compliance trend (assessor-facing)</w:t>
      </w:r>
      <w:r>
        <w:t xml:space="preserve"> </w:t>
      </w:r>
      <w:r>
        <w:t xml:space="preserve">-</w:t>
      </w:r>
      <w:r>
        <w:t xml:space="preserve"> </w:t>
      </w:r>
      <w:r>
        <w:rPr>
          <w:rStyle w:val="VerbatimChar"/>
        </w:rPr>
        <w:t xml:space="preserve">mde-onboarding-status.csv</w:t>
      </w:r>
      <w:r>
        <w:t xml:space="preserve"> </w:t>
      </w:r>
      <w:r>
        <w:t xml:space="preserve">— Arc enrollment vs. MDE onboarding coverage verification</w:t>
      </w:r>
      <w:r>
        <w:t xml:space="preserve"> </w:t>
      </w:r>
      <w:r>
        <w:t xml:space="preserve">-</w:t>
      </w:r>
      <w:r>
        <w:t xml:space="preserve"> </w:t>
      </w:r>
      <w:r>
        <w:rPr>
          <w:rStyle w:val="VerbatimChar"/>
        </w:rPr>
        <w:t xml:space="preserve">sql-version-inventory.csv</w:t>
      </w:r>
      <w:r>
        <w:t xml:space="preserve"> </w:t>
      </w:r>
      <w:r>
        <w:t xml:space="preserve">— SQL Server version and CU currency record</w:t>
      </w:r>
    </w:p>
    <w:p>
      <w:pPr>
        <w:pStyle w:val="BodyText"/>
      </w:pPr>
      <w:r>
        <w:t xml:space="preserve">All five artifacts are produced by the scripts in this document. No manual assembly is required for an assessment request. The 90-day history is retained in Azure Blob Storage and is available on demand.</w:t>
      </w:r>
    </w:p>
    <w:bookmarkStart w:id="82"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17:40 ET</w:t>
      </w:r>
    </w:p>
    <w:bookmarkEnd w:id="82"/>
    <w:p>
      <w:pPr>
        <w:pStyle w:val="BodyText"/>
      </w:pPr>
      <w:r>
        <w:rPr>
          <w:b/>
          <w:bCs/>
        </w:rPr>
        <w:t xml:space="preserve">Provisional position.</w:t>
      </w:r>
      <w:r>
        <w:t xml:space="preserve"> </w:t>
      </w:r>
      <w:r>
        <w:t xml:space="preserve">This book was drafted at temporary series slot 21 to</w:t>
      </w:r>
      <w:r>
        <w:t xml:space="preserve"> </w:t>
      </w:r>
      <w:r>
        <w:t xml:space="preserve">avoid renumbering the series while adjacent books settle. Its intended home is</w:t>
      </w:r>
      <w:r>
        <w:t xml:space="preserve"> </w:t>
      </w:r>
      <w:r>
        <w:t xml:space="preserve">immediately after the Vulnerability Management book (the assessment half), whose</w:t>
      </w:r>
      <w:r>
        <w:t xml:space="preserve"> </w:t>
      </w:r>
      <w:r>
        <w:t xml:space="preserve">remediation half it carries. Cross-references name other books by</w:t>
      </w:r>
      <w:r>
        <w:t xml:space="preserve"> </w:t>
      </w:r>
      <w:r>
        <w:rPr>
          <w:b/>
          <w:bCs/>
        </w:rPr>
        <w:t xml:space="preserve">title and</w:t>
      </w:r>
      <w:r>
        <w:rPr>
          <w:b/>
          <w:bCs/>
        </w:rPr>
        <w:t xml:space="preserve"> </w:t>
      </w:r>
      <w:r>
        <w:rPr>
          <w:b/>
          <w:bCs/>
        </w:rPr>
        <w:t xml:space="preserve">role</w:t>
      </w:r>
      <w:r>
        <w:t xml:space="preserve">, not number, so the series-wide renumber does not break them.</w:t>
      </w:r>
    </w:p>
    <w:p>
      <w:pPr>
        <w:pStyle w:val="BodyText"/>
      </w:pPr>
      <w:r>
        <w:rPr>
          <w:b/>
          <w:bCs/>
        </w:rPr>
        <w:t xml:space="preserve">Series Context</w:t>
      </w:r>
      <w:r>
        <w:t xml:space="preserve"> </w:t>
      </w:r>
      <w:r>
        <w:t xml:space="preserve">— The Vulnerability Management book answers</w:t>
      </w:r>
      <w:r>
        <w:t xml:space="preserve"> </w:t>
      </w:r>
      <w:r>
        <w:rPr>
          <w:i/>
          <w:iCs/>
        </w:rPr>
        <w:t xml:space="preserve">what is</w:t>
      </w:r>
      <w:r>
        <w:rPr>
          <w:i/>
          <w:iCs/>
        </w:rPr>
        <w:t xml:space="preserve"> </w:t>
      </w:r>
      <w:r>
        <w:rPr>
          <w:i/>
          <w:iCs/>
        </w:rPr>
        <w:t xml:space="preserve">unpatched</w:t>
      </w:r>
      <w:r>
        <w:t xml:space="preserve"> </w:t>
      </w:r>
      <w:r>
        <w:t xml:space="preserve">— continuous scanning, CISA KEV cross-reference, risk-based SLAs, and</w:t>
      </w:r>
      <w:r>
        <w:t xml:space="preserve"> </w:t>
      </w:r>
      <w:r>
        <w:t xml:space="preserve">the machine-readable compliance record, worked on the Microsoft/Defender estate.</w:t>
      </w:r>
      <w:r>
        <w:t xml:space="preserve"> </w:t>
      </w:r>
      <w:r>
        <w:t xml:space="preserve">This book answers</w:t>
      </w:r>
      <w:r>
        <w:t xml:space="preserve"> </w:t>
      </w:r>
      <w:r>
        <w:rPr>
          <w:i/>
          <w:iCs/>
        </w:rPr>
        <w:t xml:space="preserve">close it, and keep it closed</w:t>
      </w:r>
      <w:r>
        <w:t xml:space="preserve">: the remediation actuation</w:t>
      </w:r>
      <w:r>
        <w:t xml:space="preserve"> </w:t>
      </w:r>
      <w:r>
        <w:t xml:space="preserve">(SI-2) and configuration state (CM-2 / CM-6) across</w:t>
      </w:r>
      <w:r>
        <w:t xml:space="preserve"> </w:t>
      </w:r>
      <w:r>
        <w:rPr>
          <w:b/>
          <w:bCs/>
        </w:rPr>
        <w:t xml:space="preserve">every</w:t>
      </w:r>
      <w:r>
        <w:t xml:space="preserve"> </w:t>
      </w:r>
      <w:r>
        <w:t xml:space="preserve">cloud platform the</w:t>
      </w:r>
      <w:r>
        <w:t xml:space="preserve"> </w:t>
      </w:r>
      <w:r>
        <w:t xml:space="preserve">agency runs — not just the Azure/Intune stack. It is the realization of the</w:t>
      </w:r>
      <w:r>
        <w:t xml:space="preserve"> </w:t>
      </w:r>
      <w:r>
        <w:t xml:space="preserve">Configuration &amp; Remediation plane (plane 7) and of the Management-Plane</w:t>
      </w:r>
      <w:r>
        <w:t xml:space="preserve"> </w:t>
      </w:r>
      <w:r>
        <w:t xml:space="preserve">Coordination Doctrine stated in the Executive Summary.</w:t>
      </w:r>
    </w:p>
    <w:bookmarkEnd w:id="83"/>
    <w:bookmarkStart w:id="84" w:name="what-this-document-addresses-2"/>
    <w:p>
      <w:pPr>
        <w:pStyle w:val="Heading1"/>
      </w:pPr>
      <w:r>
        <w:t xml:space="preserve">What This Document Addresses</w:t>
      </w:r>
    </w:p>
    <w:p>
      <w:pPr>
        <w:pStyle w:val="FirstParagraph"/>
      </w:pPr>
      <w:r>
        <w:t xml:space="preserve">The Vulnerability Management book demonstrated flaw remediation on one stack:</w:t>
      </w:r>
      <w:r>
        <w:t xml:space="preserve"> </w:t>
      </w:r>
      <w:r>
        <w:t xml:space="preserve">Microsoft Defender Vulnerability Management for assessment, Intune Windows Update</w:t>
      </w:r>
      <w:r>
        <w:t xml:space="preserve"> </w:t>
      </w:r>
      <w:r>
        <w:t xml:space="preserve">for Business and Azure Update Manager for delivery, all riding the Azure Arc</w:t>
      </w:r>
      <w:r>
        <w:t xml:space="preserve"> </w:t>
      </w:r>
      <w:r>
        <w:t xml:space="preserve">channel. That is a complete and correct</w:t>
      </w:r>
      <w:r>
        <w:t xml:space="preserve"> </w:t>
      </w:r>
      <w:r>
        <w:rPr>
          <w:i/>
          <w:iCs/>
        </w:rPr>
        <w:t xml:space="preserve">reference implementation</w:t>
      </w:r>
      <w:r>
        <w:t xml:space="preserve"> </w:t>
      </w:r>
      <w:r>
        <w:t xml:space="preserve">— for the</w:t>
      </w:r>
      <w:r>
        <w:t xml:space="preserve"> </w:t>
      </w:r>
      <w:r>
        <w:t xml:space="preserve">Azure estate. It is not the whole estate.</w:t>
      </w:r>
    </w:p>
    <w:p>
      <w:pPr>
        <w:pStyle w:val="BodyText"/>
      </w:pPr>
      <w:r>
        <w:t xml:space="preserve">A federal agency operating under FedRAMP Moderate typically runs compute on more</w:t>
      </w:r>
      <w:r>
        <w:t xml:space="preserve"> </w:t>
      </w:r>
      <w:r>
        <w:t xml:space="preserve">than one authorized platform at once: Azure Government / M365 GCC,</w:t>
      </w:r>
      <w:r>
        <w:t xml:space="preserve"> </w:t>
      </w:r>
      <w:r>
        <w:rPr>
          <w:b/>
          <w:bCs/>
        </w:rPr>
        <w:t xml:space="preserve">AWS</w:t>
      </w:r>
      <w:r>
        <w:rPr>
          <w:b/>
          <w:bCs/>
        </w:rPr>
        <w:t xml:space="preserve"> </w:t>
      </w:r>
      <w:r>
        <w:rPr>
          <w:b/>
          <w:bCs/>
        </w:rPr>
        <w:t xml:space="preserve">GovCloud</w:t>
      </w:r>
      <w:r>
        <w:t xml:space="preserve">,</w:t>
      </w:r>
      <w:r>
        <w:t xml:space="preserve"> </w:t>
      </w:r>
      <w:r>
        <w:rPr>
          <w:b/>
          <w:bCs/>
        </w:rPr>
        <w:t xml:space="preserve">Oracle Cloud Infrastructure (OCI)</w:t>
      </w:r>
      <w:r>
        <w:t xml:space="preserve">, on-premises</w:t>
      </w:r>
      <w:r>
        <w:t xml:space="preserve"> </w:t>
      </w:r>
      <w:r>
        <w:rPr>
          <w:b/>
          <w:bCs/>
        </w:rPr>
        <w:t xml:space="preserve">VMware</w:t>
      </w:r>
      <w:r>
        <w:t xml:space="preserve">, and</w:t>
      </w:r>
      <w:r>
        <w:t xml:space="preserve"> </w:t>
      </w:r>
      <w:r>
        <w:rPr>
          <w:b/>
          <w:bCs/>
        </w:rPr>
        <w:t xml:space="preserve">Red Hat</w:t>
      </w:r>
      <w:r>
        <w:t xml:space="preserve"> </w:t>
      </w:r>
      <w:r>
        <w:t xml:space="preserve">across all of them. Each platform ships its own patch and</w:t>
      </w:r>
      <w:r>
        <w:t xml:space="preserve"> </w:t>
      </w:r>
      <w:r>
        <w:t xml:space="preserve">systems-management stack, each spanning Windows, Linux, and — above the guest OS</w:t>
      </w:r>
      <w:r>
        <w:t xml:space="preserve"> </w:t>
      </w:r>
      <w:r>
        <w:t xml:space="preserve">— hypervisor, firmware, and managed-service layers that no single vendor’s tool</w:t>
      </w:r>
      <w:r>
        <w:t xml:space="preserve"> </w:t>
      </w:r>
      <w:r>
        <w:t xml:space="preserve">reaches. The question this book answers is the one the coordination doctrine</w:t>
      </w:r>
      <w:r>
        <w:t xml:space="preserve"> </w:t>
      </w:r>
      <w:r>
        <w:t xml:space="preserve">poses:</w:t>
      </w:r>
    </w:p>
    <w:p>
      <w:pPr>
        <w:pStyle w:val="BlockText"/>
      </w:pPr>
      <w:r>
        <w:rPr>
          <w:b/>
          <w:bCs/>
        </w:rPr>
        <w:t xml:space="preserve">Is SI-2 closed by forcing every workload under one Microsoft plane (Intune /</w:t>
      </w:r>
      <w:r>
        <w:rPr>
          <w:b/>
          <w:bCs/>
        </w:rPr>
        <w:t xml:space="preserve"> </w:t>
      </w:r>
      <w:r>
        <w:rPr>
          <w:b/>
          <w:bCs/>
        </w:rPr>
        <w:t xml:space="preserve">Azure Arc), or by each platform’s native stack coordinated through a common</w:t>
      </w:r>
      <w:r>
        <w:rPr>
          <w:b/>
          <w:bCs/>
        </w:rPr>
        <w:t xml:space="preserve"> </w:t>
      </w:r>
      <w:r>
        <w:rPr>
          <w:b/>
          <w:bCs/>
        </w:rPr>
        <w:t xml:space="preserve">contract? And if the latter, what is the contract?</w:t>
      </w:r>
    </w:p>
    <w:p>
      <w:pPr>
        <w:pStyle w:val="FirstParagraph"/>
      </w:pPr>
      <w:r>
        <w:t xml:space="preserve">The answer, per doctrine:</w:t>
      </w:r>
      <w:r>
        <w:t xml:space="preserve"> </w:t>
      </w:r>
      <w:r>
        <w:rPr>
          <w:b/>
          <w:bCs/>
        </w:rPr>
        <w:t xml:space="preserve">actuation is platform-native; governance is</w:t>
      </w:r>
      <w:r>
        <w:rPr>
          <w:b/>
          <w:bCs/>
        </w:rPr>
        <w:t xml:space="preserve"> </w:t>
      </w:r>
      <w:r>
        <w:rPr>
          <w:b/>
          <w:bCs/>
        </w:rPr>
        <w:t xml:space="preserve">unified.</w:t>
      </w:r>
      <w:r>
        <w:t xml:space="preserve"> </w:t>
      </w:r>
      <w:r>
        <w:t xml:space="preserve">This book gives the actuation matrix, defines the unifying contract,</w:t>
      </w:r>
      <w:r>
        <w:t xml:space="preserve"> </w:t>
      </w:r>
      <w:r>
        <w:t xml:space="preserve">and maps both to the SI-2 and CM control families.</w:t>
      </w:r>
    </w:p>
    <w:bookmarkEnd w:id="84"/>
    <w:bookmarkStart w:id="85" w:name="Xc141951c439f2a1233cfd438498c064ab25b6d6"/>
    <w:p>
      <w:pPr>
        <w:pStyle w:val="Heading1"/>
      </w:pPr>
      <w:r>
        <w:t xml:space="preserve">The Shared-Responsibility Line Is the SI-2 Scoping Rule</w:t>
      </w:r>
    </w:p>
    <w:p>
      <w:pPr>
        <w:pStyle w:val="FirstParagraph"/>
      </w:pPr>
      <w:r>
        <w:t xml:space="preserve">SI-2 (Flaw Remediation) does not apply uniformly to every layer of a cloud</w:t>
      </w:r>
      <w:r>
        <w:t xml:space="preserve"> </w:t>
      </w:r>
      <w:r>
        <w:t xml:space="preserve">service — it applies to the layer the</w:t>
      </w:r>
      <w:r>
        <w:t xml:space="preserve"> </w:t>
      </w:r>
      <w:r>
        <w:rPr>
          <w:i/>
          <w:iCs/>
        </w:rPr>
        <w:t xml:space="preserve">customer</w:t>
      </w:r>
      <w:r>
        <w:t xml:space="preserve"> </w:t>
      </w:r>
      <w:r>
        <w:t xml:space="preserve">operates. The shared-</w:t>
      </w:r>
      <w:r>
        <w:t xml:space="preserve"> </w:t>
      </w:r>
      <w:r>
        <w:t xml:space="preserve">responsibility line moves by service model, and it moves the SI-2 obligation</w:t>
      </w:r>
      <w:r>
        <w:t xml:space="preserve"> </w:t>
      </w:r>
      <w:r>
        <w:t xml:space="preserve">with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 model</w:t>
            </w:r>
          </w:p>
        </w:tc>
        <w:tc>
          <w:tcPr/>
          <w:p>
            <w:pPr>
              <w:pStyle w:val="Compact"/>
            </w:pPr>
            <w:r>
              <w:t xml:space="preserve">Who patches the OS</w:t>
            </w:r>
          </w:p>
        </w:tc>
        <w:tc>
          <w:tcPr/>
          <w:p>
            <w:pPr>
              <w:pStyle w:val="Compact"/>
            </w:pPr>
            <w:r>
              <w:t xml:space="preserve">Who patches the platform</w:t>
            </w:r>
          </w:p>
        </w:tc>
        <w:tc>
          <w:tcPr/>
          <w:p>
            <w:pPr>
              <w:pStyle w:val="Compact"/>
            </w:pPr>
            <w:r>
              <w:t xml:space="preserve">Agency SI-2 scope</w:t>
            </w:r>
          </w:p>
        </w:tc>
      </w:tr>
      <w:tr>
        <w:tc>
          <w:tcPr/>
          <w:p>
            <w:pPr>
              <w:pStyle w:val="Compact"/>
            </w:pPr>
            <w:r>
              <w:rPr>
                <w:b/>
                <w:bCs/>
              </w:rPr>
              <w:t xml:space="preserve">IaaS</w:t>
            </w:r>
            <w:r>
              <w:t xml:space="preserve"> </w:t>
            </w:r>
            <w:r>
              <w:t xml:space="preserve">(VM on any CSP)</w:t>
            </w:r>
          </w:p>
        </w:tc>
        <w:tc>
          <w:tcPr/>
          <w:p>
            <w:pPr>
              <w:pStyle w:val="Compact"/>
            </w:pPr>
            <w:r>
              <w:t xml:space="preserve">Agency</w:t>
            </w:r>
          </w:p>
        </w:tc>
        <w:tc>
          <w:tcPr/>
          <w:p>
            <w:pPr>
              <w:pStyle w:val="Compact"/>
            </w:pPr>
            <w:r>
              <w:t xml:space="preserve">CSP (hypervisor, host)</w:t>
            </w:r>
          </w:p>
        </w:tc>
        <w:tc>
          <w:tcPr/>
          <w:p>
            <w:pPr>
              <w:pStyle w:val="Compact"/>
            </w:pPr>
            <w:r>
              <w:t xml:space="preserve">Full guest-OS remediation is the agency’s</w:t>
            </w:r>
          </w:p>
        </w:tc>
      </w:tr>
      <w:tr>
        <w:tc>
          <w:tcPr/>
          <w:p>
            <w:pPr>
              <w:pStyle w:val="Compact"/>
            </w:pPr>
            <w:r>
              <w:rPr>
                <w:b/>
                <w:bCs/>
              </w:rPr>
              <w:t xml:space="preserve">PaaS</w:t>
            </w:r>
            <w:r>
              <w:t xml:space="preserve"> </w:t>
            </w:r>
            <w:r>
              <w:t xml:space="preserve">(managed DB, functions)</w:t>
            </w:r>
          </w:p>
        </w:tc>
        <w:tc>
          <w:tcPr/>
          <w:p>
            <w:pPr>
              <w:pStyle w:val="Compact"/>
            </w:pPr>
            <w:r>
              <w:t xml:space="preserve">CSP</w:t>
            </w:r>
          </w:p>
        </w:tc>
        <w:tc>
          <w:tcPr/>
          <w:p>
            <w:pPr>
              <w:pStyle w:val="Compact"/>
            </w:pPr>
            <w:r>
              <w:t xml:space="preserve">CSP</w:t>
            </w:r>
          </w:p>
        </w:tc>
        <w:tc>
          <w:tcPr/>
          <w:p>
            <w:pPr>
              <w:pStyle w:val="Compact"/>
            </w:pPr>
            <w:r>
              <w:t xml:space="preserve">Agency remediates only app/config layers it controls</w:t>
            </w:r>
          </w:p>
        </w:tc>
      </w:tr>
      <w:tr>
        <w:tc>
          <w:tcPr/>
          <w:p>
            <w:pPr>
              <w:pStyle w:val="Compact"/>
            </w:pPr>
            <w:r>
              <w:rPr>
                <w:b/>
                <w:bCs/>
              </w:rPr>
              <w:t xml:space="preserve">SaaS</w:t>
            </w:r>
            <w:r>
              <w:t xml:space="preserve"> </w:t>
            </w:r>
            <w:r>
              <w:t xml:space="preserve">(M365, managed apps)</w:t>
            </w:r>
          </w:p>
        </w:tc>
        <w:tc>
          <w:tcPr/>
          <w:p>
            <w:pPr>
              <w:pStyle w:val="Compact"/>
            </w:pPr>
            <w:r>
              <w:t xml:space="preserve">CSP</w:t>
            </w:r>
          </w:p>
        </w:tc>
        <w:tc>
          <w:tcPr/>
          <w:p>
            <w:pPr>
              <w:pStyle w:val="Compact"/>
            </w:pPr>
            <w:r>
              <w:t xml:space="preserve">CSP</w:t>
            </w:r>
          </w:p>
        </w:tc>
        <w:tc>
          <w:tcPr/>
          <w:p>
            <w:pPr>
              <w:pStyle w:val="Compact"/>
            </w:pPr>
            <w:r>
              <w:t xml:space="preserve">Agency SI-2 scope is tenant configuration, not patching</w:t>
            </w:r>
          </w:p>
        </w:tc>
      </w:tr>
    </w:tbl>
    <w:p>
      <w:pPr>
        <w:pStyle w:val="BodyText"/>
      </w:pPr>
      <w:r>
        <w:t xml:space="preserve">The scoping rule is therefore:</w:t>
      </w:r>
      <w:r>
        <w:t xml:space="preserve"> </w:t>
      </w:r>
      <w:r>
        <w:rPr>
          <w:b/>
          <w:bCs/>
        </w:rPr>
        <w:t xml:space="preserve">enumerate the estate by service model first;</w:t>
      </w:r>
      <w:r>
        <w:rPr>
          <w:b/>
          <w:bCs/>
        </w:rPr>
        <w:t xml:space="preserve"> </w:t>
      </w:r>
      <w:r>
        <w:rPr>
          <w:b/>
          <w:bCs/>
        </w:rPr>
        <w:t xml:space="preserve">SI-2 obligations fall only where the agency operates the OS or the application.</w:t>
      </w:r>
      <w:r>
        <w:t xml:space="preserve"> </w:t>
      </w:r>
      <w:r>
        <w:t xml:space="preserve">A common assessment error is claiming SI-2 evidence for a fully managed PaaS</w:t>
      </w:r>
      <w:r>
        <w:t xml:space="preserve"> </w:t>
      </w:r>
      <w:r>
        <w:t xml:space="preserve">database (the CSP patches it) or, worse,</w:t>
      </w:r>
      <w:r>
        <w:t xml:space="preserve"> </w:t>
      </w:r>
      <w:r>
        <w:rPr>
          <w:i/>
          <w:iCs/>
        </w:rPr>
        <w:t xml:space="preserve">failing</w:t>
      </w:r>
      <w:r>
        <w:t xml:space="preserve"> </w:t>
      </w:r>
      <w:r>
        <w:t xml:space="preserve">to claim it for an IaaS VM</w:t>
      </w:r>
      <w:r>
        <w:t xml:space="preserve"> </w:t>
      </w:r>
      <w:r>
        <w:t xml:space="preserve">because</w:t>
      </w:r>
      <w:r>
        <w:t xml:space="preserve"> </w:t>
      </w:r>
      <w:r>
        <w:t xml:space="preserve">“it’s in the cloud”</w:t>
      </w:r>
      <w:r>
        <w:t xml:space="preserve"> </w:t>
      </w:r>
      <w:r>
        <w:t xml:space="preserve">(the agency patches it). The line, not the location,</w:t>
      </w:r>
      <w:r>
        <w:t xml:space="preserve"> </w:t>
      </w:r>
      <w:r>
        <w:t xml:space="preserve">decides.</w:t>
      </w:r>
    </w:p>
    <w:bookmarkEnd w:id="85"/>
    <w:bookmarkStart w:id="86" w:name="Xc7d8f15beb7eedfb3c63ca540177ab98d1e4025"/>
    <w:p>
      <w:pPr>
        <w:pStyle w:val="Heading1"/>
      </w:pPr>
      <w:r>
        <w:t xml:space="preserve">Scanner ≠ Remediation — the Handoff From Vulnerability Management</w:t>
      </w:r>
    </w:p>
    <w:p>
      <w:pPr>
        <w:pStyle w:val="FirstParagraph"/>
      </w:pPr>
      <w:r>
        <w:t xml:space="preserve">The Vulnerability Management book measures the gap (RA-5): which asset is missing</w:t>
      </w:r>
      <w:r>
        <w:t xml:space="preserve"> </w:t>
      </w:r>
      <w:r>
        <w:t xml:space="preserve">which patch, cross-referenced to the KEV catalog, ranked by a risk-based SLA.</w:t>
      </w:r>
      <w:r>
        <w:t xml:space="preserve"> </w:t>
      </w:r>
      <w:r>
        <w:t xml:space="preserve">That is assessment. It does not, by itself, apply a single patch.</w:t>
      </w:r>
      <w:r>
        <w:t xml:space="preserve"> </w:t>
      </w:r>
      <w:r>
        <w:rPr>
          <w:b/>
          <w:bCs/>
        </w:rPr>
        <w:t xml:space="preserve">A scanner</w:t>
      </w:r>
      <w:r>
        <w:rPr>
          <w:b/>
          <w:bCs/>
        </w:rPr>
        <w:t xml:space="preserve"> </w:t>
      </w:r>
      <w:r>
        <w:rPr>
          <w:b/>
          <w:bCs/>
        </w:rPr>
        <w:t xml:space="preserve">authors no state; it measures drift from one.</w:t>
      </w:r>
      <w:r>
        <w:t xml:space="preserve"> </w:t>
      </w:r>
      <w:r>
        <w:t xml:space="preserve">SI-2 is the act of closing the</w:t>
      </w:r>
      <w:r>
        <w:t xml:space="preserve"> </w:t>
      </w:r>
      <w:r>
        <w:t xml:space="preserve">gap the scanner found — and closing it is platform-specific work performed by a</w:t>
      </w:r>
      <w:r>
        <w:t xml:space="preserve"> </w:t>
      </w:r>
      <w:r>
        <w:t xml:space="preserve">patch-orchestration stack, not by the scanner.</w:t>
      </w:r>
    </w:p>
    <w:p>
      <w:pPr>
        <w:pStyle w:val="BodyText"/>
      </w:pPr>
      <w:r>
        <w:t xml:space="preserve">The handoff is a contract, not a merge: Vulnerability Management emits a</w:t>
      </w:r>
      <w:r>
        <w:t xml:space="preserve"> </w:t>
      </w:r>
      <w:r>
        <w:t xml:space="preserve">prioritized, KEV-weighted patch queue keyed to authoritative asset identity;</w:t>
      </w:r>
      <w:r>
        <w:t xml:space="preserve"> </w:t>
      </w:r>
      <w:r>
        <w:t xml:space="preserve">this book’s actuation stacks consume that queue on their respective platforms and</w:t>
      </w:r>
      <w:r>
        <w:t xml:space="preserve"> </w:t>
      </w:r>
      <w:r>
        <w:t xml:space="preserve">emit a remediation-status record back. Neither book duplicates the other.</w:t>
      </w:r>
    </w:p>
    <w:bookmarkEnd w:id="86"/>
    <w:bookmarkStart w:id="90" w:name="the-coordination-doctrine-applied"/>
    <w:p>
      <w:pPr>
        <w:pStyle w:val="Heading1"/>
      </w:pPr>
      <w:r>
        <w:t xml:space="preserve">The Coordination Doctrine, Applied</w:t>
      </w:r>
    </w:p>
    <w:bookmarkStart w:id="87" w:name="actuation-is-platform-native"/>
    <w:p>
      <w:pPr>
        <w:pStyle w:val="Heading2"/>
      </w:pPr>
      <w:r>
        <w:t xml:space="preserve">Actuation Is Platform-Native</w:t>
      </w:r>
    </w:p>
    <w:p>
      <w:pPr>
        <w:pStyle w:val="FirstParagraph"/>
      </w:pPr>
      <w:r>
        <w:t xml:space="preserve">Each platform patches with the stack its support model requires. Forcing an</w:t>
      </w:r>
      <w:r>
        <w:t xml:space="preserve"> </w:t>
      </w:r>
      <w:r>
        <w:t xml:space="preserve">overlay past that boundary breaks support and, often, physics (you cannot patch</w:t>
      </w:r>
      <w:r>
        <w:t xml:space="preserve"> </w:t>
      </w:r>
      <w:r>
        <w:t xml:space="preserve">an ESXi hypervisor with a guest-OS agent).</w:t>
      </w:r>
    </w:p>
    <w:p>
      <w:pPr>
        <w:pStyle w:val="TableCaption"/>
      </w:pPr>
      <w:r>
        <w:t xml:space="preserve">Actuation Stacks by Platform and Layer — the SI-2 Mechanism per Cell</w:t>
      </w:r>
    </w:p>
    <w:tbl>
      <w:tblPr>
        <w:tblStyle w:val="Table"/>
        <w:tblW w:type="pct" w:w="5000"/>
        <w:tblLayout w:type="fixed"/>
        <w:tblLook w:firstRow="1" w:lastRow="0" w:firstColumn="0" w:lastColumn="0" w:noHBand="0" w:noVBand="0" w:val="0020"/>
        <w:tblCaption w:val="Actuation Stacks by Platform and Layer — the SI-2 Mechanism per Cell"/>
      </w:tblPr>
      <w:tblGrid>
        <w:gridCol w:w="1320"/>
        <w:gridCol w:w="1320"/>
        <w:gridCol w:w="1320"/>
        <w:gridCol w:w="1320"/>
        <w:gridCol w:w="1320"/>
        <w:gridCol w:w="1320"/>
      </w:tblGrid>
      <w:tr>
        <w:trPr>
          <w:tblHeader w:val="on"/>
        </w:trPr>
        <w:tc>
          <w:tcPr/>
          <w:p>
            <w:pPr>
              <w:pStyle w:val="Compact"/>
            </w:pPr>
            <w:r>
              <w:t xml:space="preserve">Platform</w:t>
            </w:r>
          </w:p>
        </w:tc>
        <w:tc>
          <w:tcPr/>
          <w:p>
            <w:pPr>
              <w:pStyle w:val="Compact"/>
            </w:pPr>
            <w:r>
              <w:t xml:space="preserve">Windows</w:t>
            </w:r>
          </w:p>
        </w:tc>
        <w:tc>
          <w:tcPr/>
          <w:p>
            <w:pPr>
              <w:pStyle w:val="Compact"/>
            </w:pPr>
            <w:r>
              <w:t xml:space="preserve">Linux</w:t>
            </w:r>
          </w:p>
        </w:tc>
        <w:tc>
          <w:tcPr/>
          <w:p>
            <w:pPr>
              <w:pStyle w:val="Compact"/>
            </w:pPr>
            <w:r>
              <w:t xml:space="preserve">macOS / mobile</w:t>
            </w:r>
          </w:p>
        </w:tc>
        <w:tc>
          <w:tcPr/>
          <w:p>
            <w:pPr>
              <w:pStyle w:val="Compact"/>
            </w:pPr>
            <w:r>
              <w:t xml:space="preserve">Hypervisor / firmware</w:t>
            </w:r>
          </w:p>
        </w:tc>
        <w:tc>
          <w:tcPr/>
          <w:p>
            <w:pPr>
              <w:pStyle w:val="Compact"/>
            </w:pPr>
            <w:r>
              <w:t xml:space="preserve">Managed-service (PaaS/SaaS)</w:t>
            </w:r>
          </w:p>
        </w:tc>
      </w:tr>
      <w:tr>
        <w:tc>
          <w:tcPr/>
          <w:p>
            <w:pPr>
              <w:pStyle w:val="Compact"/>
            </w:pPr>
            <w:r>
              <w:rPr>
                <w:b/>
                <w:bCs/>
              </w:rPr>
              <w:t xml:space="preserve">Microsoft</w:t>
            </w:r>
          </w:p>
        </w:tc>
        <w:tc>
          <w:tcPr/>
          <w:p>
            <w:pPr>
              <w:pStyle w:val="Compact"/>
            </w:pPr>
            <w:r>
              <w:t xml:space="preserve">WUfB / Autopatch; MECM/WSUS (legacy)</w:t>
            </w:r>
          </w:p>
        </w:tc>
        <w:tc>
          <w:tcPr/>
          <w:p>
            <w:pPr>
              <w:pStyle w:val="Compact"/>
            </w:pPr>
            <w:r>
              <w:t xml:space="preserve">Azure Update Manager (+ Arc)</w:t>
            </w:r>
          </w:p>
        </w:tc>
        <w:tc>
          <w:tcPr/>
          <w:p>
            <w:pPr>
              <w:pStyle w:val="Compact"/>
            </w:pPr>
            <w:r>
              <w:t xml:space="preserve">Intune</w:t>
            </w:r>
          </w:p>
        </w:tc>
        <w:tc>
          <w:tcPr/>
          <w:p>
            <w:pPr>
              <w:pStyle w:val="Compact"/>
            </w:pPr>
            <w:r>
              <w:t xml:space="preserve">—</w:t>
            </w:r>
          </w:p>
        </w:tc>
        <w:tc>
          <w:tcPr/>
          <w:p>
            <w:pPr>
              <w:pStyle w:val="Compact"/>
            </w:pPr>
            <w:r>
              <w:t xml:space="preserve">M365 / managed DB — CSP-patched</w:t>
            </w:r>
          </w:p>
        </w:tc>
      </w:tr>
      <w:tr>
        <w:tc>
          <w:tcPr/>
          <w:p>
            <w:pPr>
              <w:pStyle w:val="Compact"/>
            </w:pPr>
            <w:r>
              <w:rPr>
                <w:b/>
                <w:bCs/>
              </w:rPr>
              <w:t xml:space="preserve">AWS</w:t>
            </w:r>
          </w:p>
        </w:tc>
        <w:tc>
          <w:tcPr/>
          <w:p>
            <w:pPr>
              <w:pStyle w:val="Compact"/>
            </w:pPr>
            <w:r>
              <w:t xml:space="preserve">SSM Patch Manager</w:t>
            </w:r>
          </w:p>
        </w:tc>
        <w:tc>
          <w:tcPr/>
          <w:p>
            <w:pPr>
              <w:pStyle w:val="Compact"/>
            </w:pPr>
            <w:r>
              <w:t xml:space="preserve">SSM Patch Manager</w:t>
            </w:r>
          </w:p>
        </w:tc>
        <w:tc>
          <w:tcPr/>
          <w:p>
            <w:pPr>
              <w:pStyle w:val="Compact"/>
            </w:pPr>
            <w:r>
              <w:t xml:space="preserve">—</w:t>
            </w:r>
          </w:p>
        </w:tc>
        <w:tc>
          <w:tcPr/>
          <w:p>
            <w:pPr>
              <w:pStyle w:val="Compact"/>
            </w:pPr>
            <w:r>
              <w:t xml:space="preserve">EC2 Image Builder (golden AMI)</w:t>
            </w:r>
          </w:p>
        </w:tc>
        <w:tc>
          <w:tcPr/>
          <w:p>
            <w:pPr>
              <w:pStyle w:val="Compact"/>
            </w:pPr>
            <w:r>
              <w:t xml:space="preserve">RDS / Lambda — CSP-patched</w:t>
            </w:r>
          </w:p>
        </w:tc>
      </w:tr>
      <w:tr>
        <w:tc>
          <w:tcPr/>
          <w:p>
            <w:pPr>
              <w:pStyle w:val="Compact"/>
            </w:pPr>
            <w:r>
              <w:rPr>
                <w:b/>
                <w:bCs/>
              </w:rPr>
              <w:t xml:space="preserve">Oracle (OCI)</w:t>
            </w:r>
          </w:p>
        </w:tc>
        <w:tc>
          <w:tcPr/>
          <w:p>
            <w:pPr>
              <w:pStyle w:val="Compact"/>
            </w:pPr>
            <w:r>
              <w:t xml:space="preserve">OS Management Hub</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w:t>
            </w:r>
          </w:p>
        </w:tc>
        <w:tc>
          <w:tcPr/>
          <w:p>
            <w:pPr>
              <w:pStyle w:val="Compact"/>
            </w:pPr>
            <w:r>
              <w:t xml:space="preserve">—</w:t>
            </w:r>
          </w:p>
        </w:tc>
        <w:tc>
          <w:tcPr/>
          <w:p>
            <w:pPr>
              <w:pStyle w:val="Compact"/>
            </w:pPr>
            <w:r>
              <w:t xml:space="preserve">Autonomous DB — self-patching</w:t>
            </w:r>
          </w:p>
        </w:tc>
      </w:tr>
      <w:tr>
        <w:tc>
          <w:tcPr/>
          <w:p>
            <w:pPr>
              <w:pStyle w:val="Compact"/>
            </w:pPr>
            <w:r>
              <w:rPr>
                <w:b/>
                <w:bCs/>
              </w:rPr>
              <w:t xml:space="preserve">VMware</w:t>
            </w:r>
          </w:p>
        </w:tc>
        <w:tc>
          <w:tcPr/>
          <w:p>
            <w:pPr>
              <w:pStyle w:val="Compact"/>
            </w:pPr>
            <w:r>
              <w:t xml:space="preserve">Workspace ONE</w:t>
            </w:r>
          </w:p>
        </w:tc>
        <w:tc>
          <w:tcPr/>
          <w:p>
            <w:pPr>
              <w:pStyle w:val="Compact"/>
            </w:pPr>
            <w:r>
              <w:t xml:space="preserve">Workspace ONE</w:t>
            </w:r>
          </w:p>
        </w:tc>
        <w:tc>
          <w:tcPr/>
          <w:p>
            <w:pPr>
              <w:pStyle w:val="Compact"/>
            </w:pPr>
            <w:r>
              <w:t xml:space="preserve">Workspace ONE</w:t>
            </w:r>
          </w:p>
        </w:tc>
        <w:tc>
          <w:tcPr/>
          <w:p>
            <w:pPr>
              <w:pStyle w:val="Compact"/>
            </w:pPr>
            <w:r>
              <w:rPr>
                <w:b/>
                <w:bCs/>
              </w:rPr>
              <w:t xml:space="preserve">vSphere Lifecycle Manager</w:t>
            </w:r>
            <w:r>
              <w:t xml:space="preserve"> </w:t>
            </w:r>
            <w:r>
              <w:t xml:space="preserve">(ESXi + firmware)</w:t>
            </w:r>
          </w:p>
        </w:tc>
        <w:tc>
          <w:tcPr/>
          <w:p>
            <w:pPr>
              <w:pStyle w:val="Compact"/>
            </w:pPr>
            <w:r>
              <w:t xml:space="preserve">—</w:t>
            </w:r>
          </w:p>
        </w:tc>
      </w:tr>
      <w:tr>
        <w:tc>
          <w:tcPr/>
          <w:p>
            <w:pPr>
              <w:pStyle w:val="Compact"/>
            </w:pPr>
            <w:r>
              <w:rPr>
                <w:b/>
                <w:bCs/>
              </w:rPr>
              <w:t xml:space="preserve">Red Hat</w:t>
            </w:r>
          </w:p>
        </w:tc>
        <w:tc>
          <w:tcPr/>
          <w:p>
            <w:pPr>
              <w:pStyle w:val="Compact"/>
            </w:pPr>
            <w:r>
              <w:t xml:space="preserve">—</w:t>
            </w:r>
          </w:p>
        </w:tc>
        <w:tc>
          <w:tcPr/>
          <w:p>
            <w:pPr>
              <w:pStyle w:val="Compact"/>
            </w:pPr>
            <w:r>
              <w:t xml:space="preserve">Satellite; Ansible Automation Platform; Insights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rPr>
                <w:b/>
                <w:bCs/>
              </w:rPr>
              <w:t xml:space="preserve">Cross-CSP overlay</w:t>
            </w:r>
          </w:p>
        </w:tc>
        <w:tc>
          <w:tcPr/>
          <w:p>
            <w:pPr>
              <w:pStyle w:val="Compact"/>
            </w:pPr>
            <w:r>
              <w:t xml:space="preserve">Tanium / BigFix / Ivanti — OS-agnostic, runs on any platform above</w:t>
            </w:r>
          </w:p>
        </w:tc>
        <w:tc>
          <w:tcPr/>
          <w:p>
            <w:pPr>
              <w:pStyle w:val="Compact"/>
            </w:pPr>
          </w:p>
        </w:tc>
        <w:tc>
          <w:tcPr/>
          <w:p>
            <w:pPr>
              <w:pStyle w:val="Compact"/>
            </w:pPr>
          </w:p>
        </w:tc>
        <w:tc>
          <w:tcPr/>
          <w:p>
            <w:pPr>
              <w:pStyle w:val="Compact"/>
            </w:pPr>
          </w:p>
        </w:tc>
        <w:tc>
          <w:tcPr/>
          <w:p>
            <w:pPr>
              <w:pStyle w:val="Compact"/>
            </w:pPr>
          </w:p>
        </w:tc>
      </w:tr>
    </w:tbl>
    <w:p>
      <w:pPr>
        <w:pStyle w:val="BodyText"/>
      </w:pPr>
      <w:r>
        <w:t xml:space="preserve">Two properties of this matrix are load-bearing:</w:t>
      </w:r>
    </w:p>
    <w:p>
      <w:pPr>
        <w:pStyle w:val="Compact"/>
        <w:numPr>
          <w:ilvl w:val="0"/>
          <w:numId w:val="1011"/>
        </w:numPr>
      </w:pPr>
      <w:r>
        <w:rPr>
          <w:b/>
          <w:bCs/>
        </w:rPr>
        <w:t xml:space="preserve">The hypervisor/firmware column has no cross-platform tool.</w:t>
      </w:r>
      <w:r>
        <w:t xml:space="preserve"> </w:t>
      </w:r>
      <w:r>
        <w:t xml:space="preserve">ESXi is patched</w:t>
      </w:r>
      <w:r>
        <w:t xml:space="preserve"> </w:t>
      </w:r>
      <w:r>
        <w:t xml:space="preserve">by vSphere Lifecycle Manager and nothing else; a network appliance’s firmware</w:t>
      </w:r>
      <w:r>
        <w:t xml:space="preserve"> </w:t>
      </w:r>
      <w:r>
        <w:t xml:space="preserve">is patched by its vendor tooling (the Network Enforcement Substrate book’s</w:t>
      </w:r>
      <w:r>
        <w:t xml:space="preserve"> </w:t>
      </w:r>
      <w:r>
        <w:t xml:space="preserve">subject).</w:t>
      </w:r>
      <w:r>
        <w:t xml:space="preserve"> </w:t>
      </w:r>
      <w:r>
        <w:t xml:space="preserve">“Everything under Arc”</w:t>
      </w:r>
      <w:r>
        <w:t xml:space="preserve"> </w:t>
      </w:r>
      <w:r>
        <w:t xml:space="preserve">cannot reach this column.</w:t>
      </w:r>
    </w:p>
    <w:p>
      <w:pPr>
        <w:pStyle w:val="Compact"/>
        <w:numPr>
          <w:ilvl w:val="0"/>
          <w:numId w:val="1011"/>
        </w:numPr>
      </w:pPr>
      <w:r>
        <w:rPr>
          <w:b/>
          <w:bCs/>
        </w:rPr>
        <w:t xml:space="preserve">Oracle Ksplice is a genuine capability difference, not a branding one.</w:t>
      </w:r>
      <w:r>
        <w:t xml:space="preserve"> </w:t>
      </w:r>
      <w:r>
        <w:t xml:space="preserve">It</w:t>
      </w:r>
      <w:r>
        <w:t xml:space="preserve"> </w:t>
      </w:r>
      <w:r>
        <w:t xml:space="preserve">applies kernel and user-space patches without a reboot — which changes the</w:t>
      </w:r>
      <w:r>
        <w:t xml:space="preserve"> </w:t>
      </w:r>
      <w:r>
        <w:t xml:space="preserve">remediation-SLA math for high-availability workloads, because the maintenance</w:t>
      </w:r>
      <w:r>
        <w:t xml:space="preserve"> </w:t>
      </w:r>
      <w:r>
        <w:t xml:space="preserve">window that gates most patching is smaller or absent.</w:t>
      </w:r>
    </w:p>
    <w:bookmarkEnd w:id="87"/>
    <w:bookmarkStart w:id="88" w:name="Xf5ced8eae2a8fcc920f0771d6509295eb779990"/>
    <w:p>
      <w:pPr>
        <w:pStyle w:val="Heading2"/>
      </w:pPr>
      <w:r>
        <w:t xml:space="preserve">Governance Is Unified — the Evidence Contract</w:t>
      </w:r>
    </w:p>
    <w:p>
      <w:pPr>
        <w:pStyle w:val="FirstParagraph"/>
      </w:pPr>
      <w:r>
        <w:t xml:space="preserve">Coordination is not a console; it is a record every stack must emit. The</w:t>
      </w:r>
      <w:r>
        <w:t xml:space="preserve"> </w:t>
      </w:r>
      <w:r>
        <w:rPr>
          <w:b/>
          <w:bCs/>
        </w:rPr>
        <w:t xml:space="preserve">unified compliance record</w:t>
      </w:r>
      <w:r>
        <w:t xml:space="preserve"> </w:t>
      </w:r>
      <w:r>
        <w:t xml:space="preserve">is the contract: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t xml:space="preserve">Authoritative name/address from the naming plane (IPAM/DDI) — the join key</w:t>
            </w:r>
          </w:p>
        </w:tc>
      </w:tr>
      <w:tr>
        <w:tc>
          <w:tcPr/>
          <w:p>
            <w:pPr>
              <w:pStyle w:val="Compact"/>
            </w:pPr>
            <w:r>
              <w:rPr>
                <w:rStyle w:val="VerbatimChar"/>
              </w:rPr>
              <w:t xml:space="preserve">platform</w:t>
            </w:r>
          </w:p>
        </w:tc>
        <w:tc>
          <w:tcPr/>
          <w:p>
            <w:pPr>
              <w:pStyle w:val="Compact"/>
            </w:pPr>
            <w:r>
              <w:t xml:space="preserve">Which CSP/stack produced the record</w:t>
            </w:r>
          </w:p>
        </w:tc>
      </w:tr>
      <w:tr>
        <w:tc>
          <w:tcPr/>
          <w:p>
            <w:pPr>
              <w:pStyle w:val="Compact"/>
            </w:pPr>
            <w:r>
              <w:rPr>
                <w:rStyle w:val="VerbatimChar"/>
              </w:rPr>
              <w:t xml:space="preserve">os</w:t>
            </w:r>
          </w:p>
        </w:tc>
        <w:tc>
          <w:tcPr/>
          <w:p>
            <w:pPr>
              <w:pStyle w:val="Compact"/>
            </w:pPr>
            <w:r>
              <w:t xml:space="preserve">Guest OS or appliance class</w:t>
            </w:r>
          </w:p>
        </w:tc>
      </w:tr>
      <w:tr>
        <w:tc>
          <w:tcPr/>
          <w:p>
            <w:pPr>
              <w:pStyle w:val="Compact"/>
            </w:pPr>
            <w:r>
              <w:rPr>
                <w:rStyle w:val="VerbatimChar"/>
              </w:rPr>
              <w:t xml:space="preserve">patch_state</w:t>
            </w:r>
          </w:p>
        </w:tc>
        <w:tc>
          <w:tcPr/>
          <w:p>
            <w:pPr>
              <w:pStyle w:val="Compact"/>
            </w:pPr>
            <w:r>
              <w:t xml:space="preserve">Current vs. required patch level</w:t>
            </w:r>
          </w:p>
        </w:tc>
      </w:tr>
      <w:tr>
        <w:tc>
          <w:tcPr/>
          <w:p>
            <w:pPr>
              <w:pStyle w:val="Compact"/>
            </w:pPr>
            <w:r>
              <w:rPr>
                <w:rStyle w:val="VerbatimChar"/>
              </w:rPr>
              <w:t xml:space="preserve">baseline_conformance</w:t>
            </w:r>
          </w:p>
        </w:tc>
        <w:tc>
          <w:tcPr/>
          <w:p>
            <w:pPr>
              <w:pStyle w:val="Compact"/>
            </w:pPr>
            <w:r>
              <w:t xml:space="preserve">Pass/fail against the CM-2 desired-state baseline</w:t>
            </w:r>
          </w:p>
        </w:tc>
      </w:tr>
      <w:tr>
        <w:tc>
          <w:tcPr/>
          <w:p>
            <w:pPr>
              <w:pStyle w:val="Compact"/>
            </w:pPr>
            <w:r>
              <w:rPr>
                <w:rStyle w:val="VerbatimChar"/>
              </w:rPr>
              <w:t xml:space="preserve">last_scan</w:t>
            </w:r>
          </w:p>
        </w:tc>
        <w:tc>
          <w:tcPr/>
          <w:p>
            <w:pPr>
              <w:pStyle w:val="Compact"/>
            </w:pPr>
            <w:r>
              <w:t xml:space="preserve">Timestamp of the assessment that produced the gap</w:t>
            </w:r>
          </w:p>
        </w:tc>
      </w:tr>
      <w:tr>
        <w:tc>
          <w:tcPr/>
          <w:p>
            <w:pPr>
              <w:pStyle w:val="Compact"/>
            </w:pPr>
            <w:r>
              <w:rPr>
                <w:rStyle w:val="VerbatimChar"/>
              </w:rPr>
              <w:t xml:space="preserve">sla_class</w:t>
            </w:r>
          </w:p>
        </w:tc>
        <w:tc>
          <w:tcPr/>
          <w:p>
            <w:pPr>
              <w:pStyle w:val="Compact"/>
            </w:pPr>
            <w:r>
              <w:t xml:space="preserve">Remediation SLA tier (KEV/exposure-weighted, BOD 26-04 model)</w:t>
            </w:r>
          </w:p>
        </w:tc>
      </w:tr>
      <w:tr>
        <w:tc>
          <w:tcPr/>
          <w:p>
            <w:pPr>
              <w:pStyle w:val="Compact"/>
            </w:pPr>
            <w:r>
              <w:rPr>
                <w:rStyle w:val="VerbatimChar"/>
              </w:rPr>
              <w:t xml:space="preserve">remediation_status</w:t>
            </w:r>
          </w:p>
        </w:tc>
        <w:tc>
          <w:tcPr/>
          <w:p>
            <w:pPr>
              <w:pStyle w:val="Compact"/>
            </w:pPr>
            <w:r>
              <w:t xml:space="preserve">Applied / scheduled / deferred (with POA&amp;M reference)</w:t>
            </w:r>
          </w:p>
        </w:tc>
      </w:tr>
    </w:tbl>
    <w:p>
      <w:pPr>
        <w:pStyle w:val="BodyText"/>
      </w:pPr>
      <w:r>
        <w:t xml:space="preserve">Every native stack — SSM, Update Manager, OS Management Hub, vLCM, Satellite —</w:t>
      </w:r>
      <w:r>
        <w:t xml:space="preserve"> </w:t>
      </w:r>
      <w:r>
        <w:t xml:space="preserve">can produce these fields. The record lands in one evidence lake (Sentinel / Log</w:t>
      </w:r>
      <w:r>
        <w:t xml:space="preserve"> </w:t>
      </w:r>
      <w:r>
        <w:t xml:space="preserve">Analytics), flows into</w:t>
      </w:r>
      <w:r>
        <w:t xml:space="preserve"> </w:t>
      </w:r>
      <w:r>
        <w:rPr>
          <w:b/>
          <w:bCs/>
        </w:rPr>
        <w:t xml:space="preserve">CISA CDM</w:t>
      </w:r>
      <w:r>
        <w:t xml:space="preserve">, and becomes the SI-2 / SI-2(2) evidence in</w:t>
      </w:r>
      <w:r>
        <w:t xml:space="preserve"> </w:t>
      </w:r>
      <w:r>
        <w:t xml:space="preserve">the FedRAMP 20x KSI pipeline. The series mandates the</w:t>
      </w:r>
      <w:r>
        <w:t xml:space="preserve"> </w:t>
      </w:r>
      <w:r>
        <w:rPr>
          <w:b/>
          <w:bCs/>
        </w:rPr>
        <w:t xml:space="preserve">record</w:t>
      </w:r>
      <w:r>
        <w:t xml:space="preserve">, never a single</w:t>
      </w:r>
      <w:r>
        <w:t xml:space="preserve"> </w:t>
      </w:r>
      <w:r>
        <w:t xml:space="preserve">vendor’s tool.</w:t>
      </w:r>
    </w:p>
    <w:bookmarkEnd w:id="88"/>
    <w:bookmarkStart w:id="89" w:name="Xb1f3e189331d2d296ef7e473117b0e2de173c74"/>
    <w:p>
      <w:pPr>
        <w:pStyle w:val="Heading2"/>
      </w:pPr>
      <w:r>
        <w:t xml:space="preserve">The Join Key Is Authoritative Asset Identity — CM-8 Is the Precondition for SI-2 at Scale</w:t>
      </w:r>
    </w:p>
    <w:p>
      <w:pPr>
        <w:pStyle w:val="FirstParagraph"/>
      </w:pPr>
      <w:r>
        <w:t xml:space="preserve">Five stacks produce five inventories. They become one compliance picture only if</w:t>
      </w:r>
      <w:r>
        <w:t xml:space="preserve"> </w:t>
      </w:r>
      <w:r>
        <w:t xml:space="preserve">every</w:t>
      </w:r>
      <w:r>
        <w:t xml:space="preserve"> </w:t>
      </w:r>
      <w:r>
        <w:rPr>
          <w:rStyle w:val="VerbatimChar"/>
        </w:rPr>
        <w:t xml:space="preserve">remediation_status</w:t>
      </w:r>
      <w:r>
        <w:t xml:space="preserve"> </w:t>
      </w:r>
      <w:r>
        <w:t xml:space="preserve">record is keyed to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the IP/hostname from the naming plane (CM-8). Without that join</w:t>
      </w:r>
      <w:r>
        <w:t xml:space="preserve"> </w:t>
      </w:r>
      <w:r>
        <w:t xml:space="preserve">key, an agency cannot answer</w:t>
      </w:r>
      <w:r>
        <w:t xml:space="preserve"> </w:t>
      </w:r>
      <w:r>
        <w:t xml:space="preserve">“is CVE-X remediated across the whole estate?”</w:t>
      </w:r>
      <w:r>
        <w:t xml:space="preserve"> </w:t>
      </w:r>
      <w:r>
        <w:t xml:space="preserve">— it</w:t>
      </w:r>
      <w:r>
        <w:t xml:space="preserve"> </w:t>
      </w:r>
      <w:r>
        <w:t xml:space="preserve">can only answer it per stack, which is not asset visibility. This is the</w:t>
      </w:r>
      <w:r>
        <w:t xml:space="preserve"> </w:t>
      </w:r>
      <w:r>
        <w:rPr>
          <w:b/>
          <w:bCs/>
        </w:rPr>
        <w:t xml:space="preserve">CISA BOD 23-01</w:t>
      </w:r>
      <w:r>
        <w:t xml:space="preserve"> </w:t>
      </w:r>
      <w:r>
        <w:t xml:space="preserve">obligation, and it is why multi-platform SI-2 is a</w:t>
      </w:r>
      <w:r>
        <w:t xml:space="preserve"> </w:t>
      </w:r>
      <w:r>
        <w:rPr>
          <w:i/>
          <w:iCs/>
        </w:rPr>
        <w:t xml:space="preserve">downstream</w:t>
      </w:r>
      <w:r>
        <w:rPr>
          <w:i/>
          <w:iCs/>
        </w:rPr>
        <w:t xml:space="preserve"> </w:t>
      </w:r>
      <w:r>
        <w:rPr>
          <w:i/>
          <w:iCs/>
        </w:rPr>
        <w:t xml:space="preserve">consequence</w:t>
      </w:r>
      <w:r>
        <w:t xml:space="preserve"> </w:t>
      </w:r>
      <w:r>
        <w:t xml:space="preserve">of the naming-plane necessity argument, not an independent problem.</w:t>
      </w:r>
    </w:p>
    <w:bookmarkEnd w:id="89"/>
    <w:bookmarkEnd w:id="90"/>
    <w:bookmarkStart w:id="91" w:name="configuration-state-not-just-patch-level"/>
    <w:p>
      <w:pPr>
        <w:pStyle w:val="Heading1"/>
      </w:pPr>
      <w:r>
        <w:t xml:space="preserve">Configuration State, Not Just Patch Level</w:t>
      </w:r>
    </w:p>
    <w:p>
      <w:pPr>
        <w:pStyle w:val="FirstParagraph"/>
      </w:pPr>
      <w:r>
        <w:t xml:space="preserve">SI-2 closes flaws;</w:t>
      </w:r>
      <w:r>
        <w:t xml:space="preserve"> </w:t>
      </w:r>
      <w:r>
        <w:rPr>
          <w:b/>
          <w:bCs/>
        </w:rPr>
        <w:t xml:space="preserve">CM-2 / CM-6</w:t>
      </w:r>
      <w:r>
        <w:t xml:space="preserve"> </w:t>
      </w:r>
      <w:r>
        <w:t xml:space="preserve">hold the configuration that keeps them closed.</w:t>
      </w:r>
      <w:r>
        <w:t xml:space="preserve"> </w:t>
      </w:r>
      <w:r>
        <w:t xml:space="preserve">Each platform has a desired-state mechanism that is the analogue of a patch</w:t>
      </w:r>
      <w:r>
        <w:t xml:space="preserve"> </w:t>
      </w:r>
      <w:r>
        <w:t xml:space="preserve">baseline: Azure Machine Configuration (guest configuration), AWS SSM State</w:t>
      </w:r>
      <w:r>
        <w:t xml:space="preserve"> </w:t>
      </w:r>
      <w:r>
        <w:t xml:space="preserve">Manager, VMware Aria Automation, Red Hat Ansible. The discipline is identical</w:t>
      </w:r>
      <w:r>
        <w:t xml:space="preserve"> </w:t>
      </w:r>
      <w:r>
        <w:t xml:space="preserve">across them — declare a baseline, detect drift, reconcile, and emit a</w:t>
      </w:r>
      <w:r>
        <w:t xml:space="preserve"> </w:t>
      </w:r>
      <w:r>
        <w:rPr>
          <w:rStyle w:val="VerbatimChar"/>
        </w:rPr>
        <w:t xml:space="preserve">baseline_conformance</w:t>
      </w:r>
      <w:r>
        <w:t xml:space="preserve"> </w:t>
      </w:r>
      <w:r>
        <w:t xml:space="preserve">record — and it feeds the same evidence contract. A patch</w:t>
      </w:r>
      <w:r>
        <w:t xml:space="preserve"> </w:t>
      </w:r>
      <w:r>
        <w:t xml:space="preserve">applied to a host that then drifts out of its hardened baseline has not stayed</w:t>
      </w:r>
      <w:r>
        <w:t xml:space="preserve"> </w:t>
      </w:r>
      <w:r>
        <w:t xml:space="preserve">remediated; configuration state is the other half of the plane.</w:t>
      </w:r>
    </w:p>
    <w:bookmarkEnd w:id="91"/>
    <w:bookmarkStart w:id="92" w:name="the-cross-csp-overlay-decision"/>
    <w:p>
      <w:pPr>
        <w:pStyle w:val="Heading1"/>
      </w:pPr>
      <w:r>
        <w:t xml:space="preserve">The Cross-CSP Overlay Decision</w:t>
      </w:r>
    </w:p>
    <w:p>
      <w:pPr>
        <w:pStyle w:val="FirstParagraph"/>
      </w:pPr>
      <w:r>
        <w:t xml:space="preserve">An agency may choose to run a single OS-agnostic management plane — Tanium,</w:t>
      </w:r>
      <w:r>
        <w:t xml:space="preserve"> </w:t>
      </w:r>
      <w:r>
        <w:t xml:space="preserve">BigFix, or Ivanti —</w:t>
      </w:r>
      <w:r>
        <w:t xml:space="preserve"> </w:t>
      </w:r>
      <w:r>
        <w:rPr>
          <w:i/>
          <w:iCs/>
        </w:rPr>
        <w:t xml:space="preserve">on top of</w:t>
      </w:r>
      <w:r>
        <w:t xml:space="preserve"> </w:t>
      </w:r>
      <w:r>
        <w:t xml:space="preserve">every platform, instead of stitching native</w:t>
      </w:r>
      <w:r>
        <w:t xml:space="preserve"> </w:t>
      </w:r>
      <w:r>
        <w:t xml:space="preserve">stacks together. The trade is explicit:</w:t>
      </w:r>
    </w:p>
    <w:p>
      <w:pPr>
        <w:pStyle w:val="Compact"/>
        <w:numPr>
          <w:ilvl w:val="0"/>
          <w:numId w:val="1012"/>
        </w:numPr>
      </w:pPr>
      <w:r>
        <w:rPr>
          <w:b/>
          <w:bCs/>
        </w:rPr>
        <w:t xml:space="preserve">Native per-platform</w:t>
      </w:r>
      <w:r>
        <w:t xml:space="preserve"> </w:t>
      </w:r>
      <w:r>
        <w:t xml:space="preserve">— no extra license, inherits each CSP’s support model</w:t>
      </w:r>
      <w:r>
        <w:t xml:space="preserve"> </w:t>
      </w:r>
      <w:r>
        <w:t xml:space="preserve">and boundary, but requires the evidence contract to normalize five outputs.</w:t>
      </w:r>
    </w:p>
    <w:p>
      <w:pPr>
        <w:pStyle w:val="Compact"/>
        <w:numPr>
          <w:ilvl w:val="0"/>
          <w:numId w:val="1012"/>
        </w:numPr>
      </w:pPr>
      <w:r>
        <w:rPr>
          <w:b/>
          <w:bCs/>
        </w:rPr>
        <w:t xml:space="preserve">Single overlay</w:t>
      </w:r>
      <w:r>
        <w:t xml:space="preserve"> </w:t>
      </w:r>
      <w:r>
        <w:t xml:space="preserve">— one console and one normalized output, but an additional</w:t>
      </w:r>
      <w:r>
        <w:t xml:space="preserve"> </w:t>
      </w:r>
      <w:r>
        <w:t xml:space="preserve">FedRAMP-authorized product in the boundary, an agent on every host, and a</w:t>
      </w:r>
      <w:r>
        <w:t xml:space="preserve"> </w:t>
      </w:r>
      <w:r>
        <w:t xml:space="preserve">support-model seam with each platform’s own tooling.</w:t>
      </w:r>
    </w:p>
    <w:p>
      <w:pPr>
        <w:pStyle w:val="FirstParagraph"/>
      </w:pPr>
      <w:r>
        <w:t xml:space="preserve">Neither is doctrinally required; both satisfy the coordination doctrine</w:t>
      </w:r>
      <w:r>
        <w:t xml:space="preserve"> </w:t>
      </w:r>
      <w:r>
        <w:rPr>
          <w:b/>
          <w:bCs/>
        </w:rPr>
        <w:t xml:space="preserve">as long</w:t>
      </w:r>
      <w:r>
        <w:rPr>
          <w:b/>
          <w:bCs/>
        </w:rPr>
        <w:t xml:space="preserve"> </w:t>
      </w:r>
      <w:r>
        <w:rPr>
          <w:b/>
          <w:bCs/>
        </w:rPr>
        <w:t xml:space="preserve">as the evidence contract is met</w:t>
      </w:r>
      <w:r>
        <w:t xml:space="preserve">. The overlay does not replace the hypervisor/</w:t>
      </w:r>
      <w:r>
        <w:t xml:space="preserve"> </w:t>
      </w:r>
      <w:r>
        <w:t xml:space="preserve">firmware column — vLCM and vendor firmware tooling remain, because an OS-level</w:t>
      </w:r>
      <w:r>
        <w:t xml:space="preserve"> </w:t>
      </w:r>
      <w:r>
        <w:t xml:space="preserve">overlay cannot patch below the OS.</w:t>
      </w:r>
    </w:p>
    <w:bookmarkEnd w:id="92"/>
    <w:bookmarkStart w:id="93" w:name="the-accreditation-substrate-theme-f"/>
    <w:p>
      <w:pPr>
        <w:pStyle w:val="Heading1"/>
      </w:pPr>
      <w:r>
        <w:t xml:space="preserve">The Accreditation Substrate (Theme F)</w:t>
      </w:r>
    </w:p>
    <w:p>
      <w:pPr>
        <w:pStyle w:val="FirstParagraph"/>
      </w:pPr>
      <w:r>
        <w:t xml:space="preserve">Most stacks in the actuation matrix are</w:t>
      </w:r>
      <w:r>
        <w:t xml:space="preserve"> </w:t>
      </w:r>
      <w:r>
        <w:rPr>
          <w:b/>
          <w:bCs/>
        </w:rPr>
        <w:t xml:space="preserve">CSP services</w:t>
      </w:r>
      <w:r>
        <w:t xml:space="preserve"> </w:t>
      </w:r>
      <w:r>
        <w:t xml:space="preserve">(Intune/Arc, AWS SSM, OCI</w:t>
      </w:r>
      <w:r>
        <w:t xml:space="preserve"> </w:t>
      </w:r>
      <w:r>
        <w:t xml:space="preserve">OS Management Hub), so their gate is</w:t>
      </w:r>
      <w:r>
        <w:t xml:space="preserve"> </w:t>
      </w:r>
      <w:r>
        <w:rPr>
          <w:b/>
          <w:bCs/>
        </w:rPr>
        <w:t xml:space="preserve">FedRAMP</w:t>
      </w:r>
      <w:r>
        <w:t xml:space="preserve"> </w:t>
      </w:r>
      <w:r>
        <w:t xml:space="preserve">— verify each such stack’s</w:t>
      </w:r>
      <w:r>
        <w:t xml:space="preserve"> </w:t>
      </w:r>
      <w:r>
        <w:t xml:space="preserve">authorization status on the FedRAMP Marketplace at procurement, and never claim</w:t>
      </w:r>
      <w:r>
        <w:t xml:space="preserve"> </w:t>
      </w:r>
      <w:r>
        <w:t xml:space="preserve">above Moderate. But the matrix also includes</w:t>
      </w:r>
      <w:r>
        <w:t xml:space="preserve"> </w:t>
      </w:r>
      <w:r>
        <w:rPr>
          <w:b/>
          <w:bCs/>
        </w:rPr>
        <w:t xml:space="preserve">customer-operated</w:t>
      </w:r>
      <w:r>
        <w:t xml:space="preserve"> </w:t>
      </w:r>
      <w:r>
        <w:t xml:space="preserve">stacks —</w:t>
      </w:r>
      <w:r>
        <w:t xml:space="preserve"> </w:t>
      </w:r>
      <w:r>
        <w:t xml:space="preserve">vSphere Lifecycle Manager on on-premises VMware, and Red Hat Satellite / Ansible</w:t>
      </w:r>
      <w:r>
        <w:t xml:space="preserve"> </w:t>
      </w:r>
      <w:r>
        <w:t xml:space="preserve">on customer infrastructure — which carry no FedRAMP CSO. Like the customer-owned</w:t>
      </w:r>
      <w:r>
        <w:t xml:space="preserve"> </w:t>
      </w:r>
      <w:r>
        <w:t xml:space="preserve">network gear in the enforcement-substrate book, their accreditation is the</w:t>
      </w:r>
      <w:r>
        <w:t xml:space="preserve"> </w:t>
      </w:r>
      <w:r>
        <w:t xml:space="preserve">product’s own (DISA STIG hardening, FIPS 140-3 validated modules), and the</w:t>
      </w:r>
      <w:r>
        <w:t xml:space="preserve"> </w:t>
      </w:r>
      <w:r>
        <w:t xml:space="preserve">authorization boundary documents them as agency-operated components, not inherited</w:t>
      </w:r>
      <w:r>
        <w:t xml:space="preserve"> </w:t>
      </w:r>
      <w:r>
        <w:t xml:space="preserve">CSP services. One boundary nuance recurs: a</w:t>
      </w:r>
      <w:r>
        <w:t xml:space="preserve"> </w:t>
      </w:r>
      <w:r>
        <w:rPr>
          <w:b/>
          <w:bCs/>
        </w:rPr>
        <w:t xml:space="preserve">hybrid agent</w:t>
      </w:r>
      <w:r>
        <w:t xml:space="preserve"> </w:t>
      </w:r>
      <w:r>
        <w:t xml:space="preserve">— Azure Arc reaching an on-prem or AWS host, or SSM reaching a</w:t>
      </w:r>
      <w:r>
        <w:t xml:space="preserve"> </w:t>
      </w:r>
      <w:r>
        <w:t xml:space="preserve">non-AWS host — creates an interconnection the authorization boundary must</w:t>
      </w:r>
      <w:r>
        <w:t xml:space="preserve"> </w:t>
      </w:r>
      <w:r>
        <w:t xml:space="preserve">document (the agent channel crosses a boundary edge). Note it as an external-</w:t>
      </w:r>
      <w:r>
        <w:t xml:space="preserve"> </w:t>
      </w:r>
      <w:r>
        <w:t xml:space="preserve">service connection with its own agreement; do not treat the reached host as</w:t>
      </w:r>
      <w:r>
        <w:t xml:space="preserve"> </w:t>
      </w:r>
      <w:r>
        <w:t xml:space="preserve">silently in-boundary because a management agent touches it.</w:t>
      </w:r>
    </w:p>
    <w:bookmarkEnd w:id="93"/>
    <w:bookmarkStart w:id="96" w:name="X87cbf80a4728b1f45bb8f7d07921f27fe55d227"/>
    <w:p>
      <w:pPr>
        <w:pStyle w:val="Heading1"/>
      </w:pPr>
      <w:r>
        <w:t xml:space="preserve">Phase 5 — The RedHat-on-AWS Estate Lands Here</w:t>
      </w:r>
    </w:p>
    <w:p>
      <w:pPr>
        <w:pStyle w:val="FirstParagraph"/>
      </w:pPr>
      <w:r>
        <w:t xml:space="preserve">The program roadmap deferred one estate: the Red Hat virtual machines running</w:t>
      </w:r>
      <w:r>
        <w:t xml:space="preserve"> </w:t>
      </w:r>
      <w:r>
        <w:t xml:space="preserve">in</w:t>
      </w:r>
      <w:r>
        <w:t xml:space="preserve"> </w:t>
      </w:r>
      <w:r>
        <w:rPr>
          <w:b/>
          <w:bCs/>
        </w:rPr>
        <w:t xml:space="preserve">AWS GovCloud</w:t>
      </w:r>
      <w:r>
        <w:t xml:space="preserve"> </w:t>
      </w:r>
      <w:r>
        <w:t xml:space="preserve">(</w:t>
      </w:r>
      <w:r>
        <w:t xml:space="preserve">“VMs are currently RedHat in AWS, so those are after</w:t>
      </w:r>
      <w:r>
        <w:t xml:space="preserve"> </w:t>
      </w:r>
      <w:r>
        <w:t xml:space="preserve">this”</w:t>
      </w:r>
      <w:r>
        <w:t xml:space="preserve">). Phase 5 is that estate’s turn, and the landing shape is now decided:</w:t>
      </w:r>
      <w:r>
        <w:t xml:space="preserve"> </w:t>
      </w:r>
      <w:r>
        <w:rPr>
          <w:b/>
          <w:bCs/>
        </w:rPr>
        <w:t xml:space="preserve">extend in place, not a new volume.</w:t>
      </w:r>
      <w:r>
        <w:t xml:space="preserve"> </w:t>
      </w:r>
      <w:r>
        <w:t xml:space="preserve">The RedHat-on-AWS workstreams land as</w:t>
      </w:r>
      <w:r>
        <w:t xml:space="preserve"> </w:t>
      </w:r>
      <w:r>
        <w:t xml:space="preserve">extensions of the books that already govern their functions — this book for</w:t>
      </w:r>
      <w:r>
        <w:t xml:space="preserve"> </w:t>
      </w:r>
      <w:r>
        <w:t xml:space="preserve">patch and configuration (SI-2, CM-2/6, via Satellite + Ansible Automation</w:t>
      </w:r>
      <w:r>
        <w:t xml:space="preserve"> </w:t>
      </w:r>
      <w:r>
        <w:t xml:space="preserve">Platform + AWS SSM per the actuation matrix above), Vol VIII Book 02 for the</w:t>
      </w:r>
      <w:r>
        <w:t xml:space="preserve"> </w:t>
      </w:r>
      <w:r>
        <w:t xml:space="preserve">DDI naming plane and CM-8 join key on AWS, Vol III Book 07 for Security Hub /</w:t>
      </w:r>
      <w:r>
        <w:t xml:space="preserve"> </w:t>
      </w:r>
      <w:r>
        <w:t xml:space="preserve">GuardDuty evidence ingestion, and the Volume IX day-2 control maps for</w:t>
      </w:r>
      <w:r>
        <w:t xml:space="preserve"> </w:t>
      </w:r>
      <w:r>
        <w:t xml:space="preserve">instance provisioning and patch-scheduling catalog items. A separate</w:t>
      </w:r>
      <w:r>
        <w:t xml:space="preserve"> </w:t>
      </w:r>
      <w:r>
        <w:t xml:space="preserve">multi-CSP extension volume is warranted only if OCI or VMware estates follow</w:t>
      </w:r>
      <w:r>
        <w:t xml:space="preserve"> </w:t>
      </w:r>
      <w:r>
        <w:t xml:space="preserve">at comparable depth.</w:t>
      </w:r>
    </w:p>
    <w:p>
      <w:pPr>
        <w:pStyle w:val="BodyText"/>
      </w:pPr>
      <w:r>
        <w:t xml:space="preserve">Three invariants make Phase 5 an extension rather than a new architecture.</w:t>
      </w:r>
      <w:r>
        <w:t xml:space="preserve"> </w:t>
      </w:r>
      <w:r>
        <w:t xml:space="preserve">First,</w:t>
      </w:r>
      <w:r>
        <w:t xml:space="preserve"> </w:t>
      </w:r>
      <w:r>
        <w:rPr>
          <w:b/>
          <w:bCs/>
        </w:rPr>
        <w:t xml:space="preserve">the AWS estate reconciles into the same queues</w:t>
      </w:r>
      <w:r>
        <w:t xml:space="preserve">: Satellite, Ansible,</w:t>
      </w:r>
      <w:r>
        <w:t xml:space="preserve"> </w:t>
      </w:r>
      <w:r>
        <w:t xml:space="preserve">and SSM emit into the existing SI-2 remediation queue, not an AWS-specific</w:t>
      </w:r>
      <w:r>
        <w:t xml:space="preserve"> </w:t>
      </w:r>
      <w:r>
        <w:t xml:space="preserve">one. Second,</w:t>
      </w:r>
      <w:r>
        <w:t xml:space="preserve"> </w:t>
      </w:r>
      <w:r>
        <w:rPr>
          <w:b/>
          <w:bCs/>
        </w:rPr>
        <w:t xml:space="preserve">the CM-8 join key is the same key</w:t>
      </w:r>
      <w:r>
        <w:t xml:space="preserve"> </w:t>
      </w:r>
      <w:r>
        <w:t xml:space="preserve">— AWS assets reconcile to</w:t>
      </w:r>
      <w:r>
        <w:t xml:space="preserve"> </w:t>
      </w:r>
      <w:r>
        <w:t xml:space="preserve">the authoritative naming plane before any compliance claim is made about</w:t>
      </w:r>
      <w:r>
        <w:t xml:space="preserve"> </w:t>
      </w:r>
      <w:r>
        <w:t xml:space="preserve">them, exactly as the join-key section above requires. Third,</w:t>
      </w:r>
      <w:r>
        <w:t xml:space="preserve"> </w:t>
      </w:r>
      <w:r>
        <w:rPr>
          <w:b/>
          <w:bCs/>
        </w:rPr>
        <w:t xml:space="preserve">evidence flows</w:t>
      </w:r>
      <w:r>
        <w:rPr>
          <w:b/>
          <w:bCs/>
        </w:rPr>
        <w:t xml:space="preserve"> </w:t>
      </w:r>
      <w:r>
        <w:rPr>
          <w:b/>
          <w:bCs/>
        </w:rPr>
        <w:t xml:space="preserve">into the existing attestation pipeline</w:t>
      </w:r>
      <w:r>
        <w:t xml:space="preserve"> </w:t>
      </w:r>
      <w:r>
        <w:t xml:space="preserve">— AWS control state feeds the same</w:t>
      </w:r>
      <w:r>
        <w:t xml:space="preserve"> </w:t>
      </w:r>
      <w:r>
        <w:t xml:space="preserve">Vol VII Book 04 attestation and KSI loop; there is no separate AWS</w:t>
      </w:r>
      <w:r>
        <w:t xml:space="preserve"> </w:t>
      </w:r>
      <w:r>
        <w:t xml:space="preserve">compliance narrative. Boundary notes carried from the accreditation section:</w:t>
      </w:r>
      <w:r>
        <w:t xml:space="preserve"> </w:t>
      </w:r>
      <w:r>
        <w:t xml:space="preserve">Satellite and Ansible run in-boundary on customer infrastructure; Red Hat</w:t>
      </w:r>
      <w:r>
        <w:t xml:space="preserve"> </w:t>
      </w:r>
      <w:r>
        <w:t xml:space="preserve">Insights is SaaS and enters only after an authorization review; AWS GovCloud</w:t>
      </w:r>
      <w:r>
        <w:t xml:space="preserve"> </w:t>
      </w:r>
      <w:r>
        <w:t xml:space="preserve">and each Red Hat product’s authorization status are verified at procurement,</w:t>
      </w:r>
      <w:r>
        <w:t xml:space="preserve"> </w:t>
      </w:r>
      <w:r>
        <w:t xml:space="preserve">holding the series’ Moderate scope throughout.</w:t>
      </w:r>
    </w:p>
    <w:bookmarkStart w:id="94" w:name="Xd1b7734b7fd2521290dc90ac27b25fa94d34e47"/>
    <w:p>
      <w:pPr>
        <w:pStyle w:val="Heading2"/>
      </w:pPr>
      <w:r>
        <w:t xml:space="preserve">The 5.1 emission contract — one record shape into the one SI-2 queue</w:t>
      </w:r>
    </w:p>
    <w:p>
      <w:pPr>
        <w:pStyle w:val="FirstParagraph"/>
      </w:pPr>
      <w:r>
        <w:t xml:space="preserve">The Satellite + Ansible Automation Platform + SSM stacks close SI-2 on the</w:t>
      </w:r>
      <w:r>
        <w:t xml:space="preserve"> </w:t>
      </w:r>
      <w:r>
        <w:t xml:space="preserve">RedHat-on-AWS estate only when their remediation results land in the</w:t>
      </w:r>
      <w:r>
        <w:t xml:space="preserve"> </w:t>
      </w:r>
      <w:r>
        <w:rPr>
          <w:b/>
          <w:bCs/>
        </w:rPr>
        <w:t xml:space="preserve">same</w:t>
      </w:r>
      <w:r>
        <w:rPr>
          <w:b/>
          <w:bCs/>
        </w:rPr>
        <w:t xml:space="preserve"> </w:t>
      </w:r>
      <w:r>
        <w:rPr>
          <w:b/>
          <w:bCs/>
        </w:rPr>
        <w:t xml:space="preserve">queue</w:t>
      </w:r>
      <w:r>
        <w:t xml:space="preserve"> </w:t>
      </w:r>
      <w:r>
        <w:t xml:space="preserve">the rest of the estate reports to, keyed the same way. The emission</w:t>
      </w:r>
      <w:r>
        <w:t xml:space="preserve"> </w:t>
      </w:r>
      <w:r>
        <w:t xml:space="preserve">contract is deliberately small — five fields, the same shape every other</w:t>
      </w:r>
      <w:r>
        <w:t xml:space="preserve"> </w:t>
      </w:r>
      <w:r>
        <w:t xml:space="preserve">actuation stack emits: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Content</w:t>
            </w:r>
          </w:p>
        </w:tc>
        <w:tc>
          <w:tcPr/>
          <w:p>
            <w:pPr>
              <w:pStyle w:val="Compact"/>
            </w:pPr>
            <w:r>
              <w:t xml:space="preserve">Why it is load-bearing</w:t>
            </w:r>
          </w:p>
        </w:tc>
      </w:tr>
      <w:tr>
        <w:tc>
          <w:tcPr/>
          <w:p>
            <w:pPr>
              <w:pStyle w:val="Compact"/>
            </w:pPr>
            <w:r>
              <w:rPr>
                <w:b/>
                <w:bCs/>
              </w:rPr>
              <w:t xml:space="preserve">Join key</w:t>
            </w:r>
          </w:p>
        </w:tc>
        <w:tc>
          <w:tcPr/>
          <w:p>
            <w:pPr>
              <w:pStyle w:val="Compact"/>
            </w:pPr>
            <w:r>
              <w:t xml:space="preserve">The asset’s authoritative identity from the IPAM/DDI naming plane (CM-8)</w:t>
            </w:r>
          </w:p>
        </w:tc>
        <w:tc>
          <w:tcPr/>
          <w:p>
            <w:pPr>
              <w:pStyle w:val="Compact"/>
            </w:pPr>
            <w:r>
              <w:t xml:space="preserve">An unreconciled record proves nothing about any real asset — the 5.3 estate gate runs</w:t>
            </w:r>
            <w:r>
              <w:t xml:space="preserve"> </w:t>
            </w:r>
            <w:r>
              <w:rPr>
                <w:i/>
                <w:iCs/>
              </w:rPr>
              <w:t xml:space="preserve">first</w:t>
            </w:r>
          </w:p>
        </w:tc>
      </w:tr>
      <w:tr>
        <w:tc>
          <w:tcPr/>
          <w:p>
            <w:pPr>
              <w:pStyle w:val="Compact"/>
            </w:pPr>
            <w:r>
              <w:rPr>
                <w:b/>
                <w:bCs/>
              </w:rPr>
              <w:t xml:space="preserve">Source stack</w:t>
            </w:r>
          </w:p>
        </w:tc>
        <w:tc>
          <w:tcPr/>
          <w:p>
            <w:pPr>
              <w:pStyle w:val="Compact"/>
            </w:pPr>
            <w:r>
              <w:rPr>
                <w:rStyle w:val="VerbatimChar"/>
              </w:rPr>
              <w:t xml:space="preserve">satellite</w:t>
            </w:r>
            <w:r>
              <w:t xml:space="preserve">,</w:t>
            </w:r>
            <w:r>
              <w:t xml:space="preserve"> </w:t>
            </w:r>
            <w:r>
              <w:rPr>
                <w:rStyle w:val="VerbatimChar"/>
              </w:rPr>
              <w:t xml:space="preserve">aap</w:t>
            </w:r>
            <w:r>
              <w:t xml:space="preserve">, or</w:t>
            </w:r>
            <w:r>
              <w:t xml:space="preserve"> </w:t>
            </w:r>
            <w:r>
              <w:rPr>
                <w:rStyle w:val="VerbatimChar"/>
              </w:rPr>
              <w:t xml:space="preserve">ssm</w:t>
            </w:r>
          </w:p>
        </w:tc>
        <w:tc>
          <w:tcPr/>
          <w:p>
            <w:pPr>
              <w:pStyle w:val="Compact"/>
            </w:pPr>
            <w:r>
              <w:t xml:space="preserve">Which platform-native orchestrator performed the remediation</w:t>
            </w:r>
          </w:p>
        </w:tc>
      </w:tr>
      <w:tr>
        <w:tc>
          <w:tcPr/>
          <w:p>
            <w:pPr>
              <w:pStyle w:val="Compact"/>
            </w:pPr>
            <w:r>
              <w:rPr>
                <w:b/>
                <w:bCs/>
              </w:rPr>
              <w:t xml:space="preserve">Finding reference</w:t>
            </w:r>
          </w:p>
        </w:tc>
        <w:tc>
          <w:tcPr/>
          <w:p>
            <w:pPr>
              <w:pStyle w:val="Compact"/>
            </w:pPr>
            <w:r>
              <w:t xml:space="preserve">Patch/erratum id, CVE, and KEV flag where applicable</w:t>
            </w:r>
          </w:p>
        </w:tc>
        <w:tc>
          <w:tcPr/>
          <w:p>
            <w:pPr>
              <w:pStyle w:val="Compact"/>
            </w:pPr>
            <w:r>
              <w:t xml:space="preserve">Joins the record back to the Book 02 assessment queue entry it closes</w:t>
            </w:r>
          </w:p>
        </w:tc>
      </w:tr>
      <w:tr>
        <w:tc>
          <w:tcPr/>
          <w:p>
            <w:pPr>
              <w:pStyle w:val="Compact"/>
            </w:pPr>
            <w:r>
              <w:rPr>
                <w:b/>
                <w:bCs/>
              </w:rPr>
              <w:t xml:space="preserve">SLA class</w:t>
            </w:r>
          </w:p>
        </w:tc>
        <w:tc>
          <w:tcPr/>
          <w:p>
            <w:pPr>
              <w:pStyle w:val="Compact"/>
            </w:pPr>
            <w:r>
              <w:t xml:space="preserve">The remediation-SLA class assigned at assessment (SI-2(3), BOD 26-04 model)</w:t>
            </w:r>
          </w:p>
        </w:tc>
        <w:tc>
          <w:tcPr/>
          <w:p>
            <w:pPr>
              <w:pStyle w:val="Compact"/>
            </w:pPr>
            <w:r>
              <w:t xml:space="preserve">Whether the closure beat its clock is a fact, not a recollection</w:t>
            </w:r>
          </w:p>
        </w:tc>
      </w:tr>
      <w:tr>
        <w:tc>
          <w:tcPr/>
          <w:p>
            <w:pPr>
              <w:pStyle w:val="Compact"/>
            </w:pPr>
            <w:r>
              <w:rPr>
                <w:b/>
                <w:bCs/>
              </w:rPr>
              <w:t xml:space="preserve">Status + evidence pointer</w:t>
            </w:r>
          </w:p>
        </w:tc>
        <w:tc>
          <w:tcPr/>
          <w:p>
            <w:pPr>
              <w:pStyle w:val="Compact"/>
            </w:pPr>
            <w:r>
              <w:t xml:space="preserve">success / failed / deferred, with the job or association id</w:t>
            </w:r>
          </w:p>
        </w:tc>
        <w:tc>
          <w:tcPr/>
          <w:p>
            <w:pPr>
              <w:pStyle w:val="Compact"/>
            </w:pPr>
            <w:r>
              <w:t xml:space="preserve">The pointer the evidence contract lifts into attestation</w:t>
            </w:r>
          </w:p>
        </w:tc>
      </w:tr>
    </w:tbl>
    <w:p>
      <w:pPr>
        <w:pStyle w:val="BodyText"/>
      </w:pPr>
      <w:r>
        <w:t xml:space="preserve">Three emitters realize the contract, none of them new architecture:</w:t>
      </w:r>
      <w:r>
        <w:t xml:space="preserve"> </w:t>
      </w:r>
      <w:r>
        <w:rPr>
          <w:b/>
          <w:bCs/>
        </w:rPr>
        <w:t xml:space="preserve">Satellite/AAP</w:t>
      </w:r>
      <w:r>
        <w:t xml:space="preserve"> </w:t>
      </w:r>
      <w:r>
        <w:t xml:space="preserve">job and remediation callbacks post completion records</w:t>
      </w:r>
      <w:r>
        <w:t xml:space="preserve"> </w:t>
      </w:r>
      <w:r>
        <w:t xml:space="preserve">through the coordination layer’s existing inbound integration (the Vol VII</w:t>
      </w:r>
      <w:r>
        <w:t xml:space="preserve"> </w:t>
      </w:r>
      <w:r>
        <w:t xml:space="preserve">pattern — IntegrationHub via the in-boundary MID);</w:t>
      </w:r>
      <w:r>
        <w:t xml:space="preserve"> </w:t>
      </w:r>
      <w:r>
        <w:rPr>
          <w:b/>
          <w:bCs/>
        </w:rPr>
        <w:t xml:space="preserve">SSM Patch Manager</w:t>
      </w:r>
      <w:r>
        <w:t xml:space="preserve"> </w:t>
      </w:r>
      <w:r>
        <w:t xml:space="preserve">patch-compliance state changes surface through EventBridge to the same</w:t>
      </w:r>
      <w:r>
        <w:t xml:space="preserve"> </w:t>
      </w:r>
      <w:r>
        <w:t xml:space="preserve">inbound lane; and either path lands as an update to the open SI-2 remediation</w:t>
      </w:r>
      <w:r>
        <w:t xml:space="preserve"> </w:t>
      </w:r>
      <w:r>
        <w:t xml:space="preserve">task rather than a new record type.</w:t>
      </w:r>
      <w:r>
        <w:t xml:space="preserve"> </w:t>
      </w:r>
      <w:r>
        <w:rPr>
          <w:b/>
          <w:bCs/>
        </w:rPr>
        <w:t xml:space="preserve">CM-2/CM-6 baseline recording</w:t>
      </w:r>
      <w:r>
        <w:t xml:space="preserve"> </w:t>
      </w:r>
      <w:r>
        <w:t xml:space="preserve">rides</w:t>
      </w:r>
      <w:r>
        <w:t xml:space="preserve"> </w:t>
      </w:r>
      <w:r>
        <w:t xml:space="preserve">the same rails: the SSM State Manager association and the Ansible playbook</w:t>
      </w:r>
      <w:r>
        <w:t xml:space="preserve"> </w:t>
      </w:r>
      <w:r>
        <w:t xml:space="preserve">version that define the estate’s desired state are recorded as the baseline</w:t>
      </w:r>
      <w:r>
        <w:t xml:space="preserve"> </w:t>
      </w:r>
      <w:r>
        <w:t xml:space="preserve">artifacts the configuration-state section above requires, so drift is judged</w:t>
      </w:r>
      <w:r>
        <w:t xml:space="preserve"> </w:t>
      </w:r>
      <w:r>
        <w:t xml:space="preserve">against a versioned baseline, not a console memory.</w:t>
      </w:r>
    </w:p>
    <w:p>
      <w:pPr>
        <w:pStyle w:val="BodyText"/>
      </w:pPr>
      <w:r>
        <w:rPr>
          <w:b/>
          <w:bCs/>
        </w:rPr>
        <w:t xml:space="preserve">The Insights decision, recorded:</w:t>
      </w:r>
      <w:r>
        <w:t xml:space="preserve"> </w:t>
      </w:r>
      <w:r>
        <w:t xml:space="preserve">Red Hat Insights remains</w:t>
      </w:r>
      <w:r>
        <w:t xml:space="preserve"> </w:t>
      </w:r>
      <w:r>
        <w:rPr>
          <w:b/>
          <w:bCs/>
        </w:rPr>
        <w:t xml:space="preserve">excluded</w:t>
      </w:r>
      <w:r>
        <w:t xml:space="preserve"> </w:t>
      </w:r>
      <w:r>
        <w:t xml:space="preserve">from the boundary until an authorization review admits it — the SaaS</w:t>
      </w:r>
      <w:r>
        <w:t xml:space="preserve"> </w:t>
      </w:r>
      <w:r>
        <w:t xml:space="preserve">telemetry path is the accreditation-substrate exception noted above, and</w:t>
      </w:r>
      <w:r>
        <w:t xml:space="preserve"> </w:t>
      </w:r>
      <w:r>
        <w:t xml:space="preserve">exclusion-by-default is the documented posture, not an oversight. Satellite</w:t>
      </w:r>
      <w:r>
        <w:t xml:space="preserve"> </w:t>
      </w:r>
      <w:r>
        <w:t xml:space="preserve">and AAP, running in-boundary, carry the full contract without it.</w:t>
      </w:r>
    </w:p>
    <w:bookmarkEnd w:id="94"/>
    <w:bookmarkStart w:id="95" w:name="Xa5a910deb4afca1211ea202fb6fbf0ce5e2b7bc"/>
    <w:p>
      <w:pPr>
        <w:pStyle w:val="Heading2"/>
      </w:pPr>
      <w:r>
        <w:t xml:space="preserve">The 5.2 assessment feed — Inspector into the Book 02 queue</w:t>
      </w:r>
    </w:p>
    <w:p>
      <w:pPr>
        <w:pStyle w:val="FirstParagraph"/>
      </w:pPr>
      <w:r>
        <w:t xml:space="preserve">The assessment half stays where the doctrine put it: the Vulnerability</w:t>
      </w:r>
      <w:r>
        <w:t xml:space="preserve"> </w:t>
      </w:r>
      <w:r>
        <w:t xml:space="preserve">Management book’s queue is the</w:t>
      </w:r>
      <w:r>
        <w:t xml:space="preserve"> </w:t>
      </w:r>
      <w:r>
        <w:rPr>
          <w:i/>
          <w:iCs/>
        </w:rPr>
        <w:t xml:space="preserve">only</w:t>
      </w:r>
      <w:r>
        <w:t xml:space="preserve"> </w:t>
      </w:r>
      <w:r>
        <w:t xml:space="preserve">RA-5 priority queue, and the AWS estate</w:t>
      </w:r>
      <w:r>
        <w:t xml:space="preserve"> </w:t>
      </w:r>
      <w:r>
        <w:t xml:space="preserve">feeds it rather than growing one of its own.</w:t>
      </w:r>
      <w:r>
        <w:t xml:space="preserve"> </w:t>
      </w:r>
      <w:r>
        <w:rPr>
          <w:b/>
          <w:bCs/>
        </w:rPr>
        <w:t xml:space="preserve">AWS Inspector</w:t>
      </w:r>
      <w:r>
        <w:t xml:space="preserve"> </w:t>
      </w:r>
      <w:r>
        <w:t xml:space="preserve">findings for</w:t>
      </w:r>
      <w:r>
        <w:t xml:space="preserve"> </w:t>
      </w:r>
      <w:r>
        <w:t xml:space="preserve">the RedHat instances (and Insights advisories, if and when admitted) enter</w:t>
      </w:r>
      <w:r>
        <w:t xml:space="preserve"> </w:t>
      </w:r>
      <w:r>
        <w:t xml:space="preserve">the same KEV-weighted, SLA-ranked queue keyed to the CM-8 join key — the</w:t>
      </w:r>
      <w:r>
        <w:t xml:space="preserve"> </w:t>
      </w:r>
      <w:r>
        <w:t xml:space="preserve">per-CSP scanner is an assessment</w:t>
      </w:r>
      <w:r>
        <w:t xml:space="preserve"> </w:t>
      </w:r>
      <w:r>
        <w:rPr>
          <w:i/>
          <w:iCs/>
        </w:rPr>
        <w:t xml:space="preserve">source</w:t>
      </w:r>
      <w:r>
        <w:t xml:space="preserve">, never a second prioritization</w:t>
      </w:r>
      <w:r>
        <w:t xml:space="preserve"> </w:t>
      </w:r>
      <w:r>
        <w:t xml:space="preserve">authority. Aggregation rides what Volume III already runs: Inspector findings</w:t>
      </w:r>
      <w:r>
        <w:t xml:space="preserve"> </w:t>
      </w:r>
      <w:r>
        <w:t xml:space="preserve">consolidate through</w:t>
      </w:r>
      <w:r>
        <w:t xml:space="preserve"> </w:t>
      </w:r>
      <w:r>
        <w:rPr>
          <w:b/>
          <w:bCs/>
        </w:rPr>
        <w:t xml:space="preserve">Security Hub</w:t>
      </w:r>
      <w:r>
        <w:t xml:space="preserve">, whose feed — with GuardDuty and</w:t>
      </w:r>
      <w:r>
        <w:t xml:space="preserve"> </w:t>
      </w:r>
      <w:r>
        <w:t xml:space="preserve">CloudTrail — the</w:t>
      </w:r>
      <w:r>
        <w:t xml:space="preserve"> </w:t>
      </w:r>
      <w:r>
        <w:rPr>
          <w:b/>
          <w:bCs/>
        </w:rPr>
        <w:t xml:space="preserve">Multi-Cloud Evidence Fabric</w:t>
      </w:r>
      <w:r>
        <w:t xml:space="preserve"> </w:t>
      </w:r>
      <w:r>
        <w:t xml:space="preserve">book already ingests via the</w:t>
      </w:r>
      <w:r>
        <w:t xml:space="preserve"> </w:t>
      </w:r>
      <w:r>
        <w:t xml:space="preserve">analytics lake. Closure flows back through this book’s actuation matrix and</w:t>
      </w:r>
      <w:r>
        <w:t xml:space="preserve"> </w:t>
      </w:r>
      <w:r>
        <w:t xml:space="preserve">the 5.1 emission contract above, so assessment-to-closure is one loop across</w:t>
      </w:r>
      <w:r>
        <w:t xml:space="preserve"> </w:t>
      </w:r>
      <w:r>
        <w:t xml:space="preserve">both clouds, not two parallel programs.</w:t>
      </w:r>
    </w:p>
    <w:bookmarkEnd w:id="95"/>
    <w:bookmarkEnd w:id="96"/>
    <w:bookmarkStart w:id="97" w:name="Xa0f6aefb90bcd4ac22cfaa1f54561897ec9cb9b"/>
    <w:p>
      <w:pPr>
        <w:pStyle w:val="Heading1"/>
      </w:pPr>
      <w:r>
        <w:t xml:space="preserve">Closure Necessity — Remediation Has No Substitute</w:t>
      </w:r>
    </w:p>
    <w:p>
      <w:pPr>
        <w:pStyle w:val="BlockText"/>
      </w:pPr>
      <w:r>
        <w:rPr>
          <w:b/>
          <w:bCs/>
        </w:rPr>
        <w:t xml:space="preserve">Closure Necessity — SI-2 across platforms.</w:t>
      </w:r>
      <w:r>
        <w:t xml:space="preserve"> </w:t>
      </w:r>
      <w:r>
        <w:t xml:space="preserve">No conformance scan, no policy</w:t>
      </w:r>
      <w:r>
        <w:t xml:space="preserve"> </w:t>
      </w:r>
      <w:r>
        <w:t xml:space="preserve">document, and no single-vendor console closes SI-2 on a genuinely multi-cloud</w:t>
      </w:r>
      <w:r>
        <w:t xml:space="preserve"> </w:t>
      </w:r>
      <w:r>
        <w:t xml:space="preserve">estate. The flaw is closed only when the platform-native orchestration stack</w:t>
      </w:r>
      <w:r>
        <w:t xml:space="preserve"> </w:t>
      </w:r>
      <w:r>
        <w:t xml:space="preserve">applies the patch on its own platform, and the estate is</w:t>
      </w:r>
      <w:r>
        <w:t xml:space="preserve"> </w:t>
      </w:r>
      <w:r>
        <w:rPr>
          <w:i/>
          <w:iCs/>
        </w:rPr>
        <w:t xml:space="preserve">provably</w:t>
      </w:r>
      <w:r>
        <w:t xml:space="preserve"> </w:t>
      </w:r>
      <w:r>
        <w:t xml:space="preserve">closed only</w:t>
      </w:r>
      <w:r>
        <w:t xml:space="preserve"> </w:t>
      </w:r>
      <w:r>
        <w:t xml:space="preserve">when each stack emits a remediation-status record keyed to authoritative asset</w:t>
      </w:r>
      <w:r>
        <w:t xml:space="preserve"> </w:t>
      </w:r>
      <w:r>
        <w:t xml:space="preserve">identity. Remove the actuation and SI-2 is open; remove the join key and SI-2 is</w:t>
      </w:r>
      <w:r>
        <w:t xml:space="preserve"> </w:t>
      </w:r>
      <w:r>
        <w:t xml:space="preserve">unprovable.</w:t>
      </w:r>
    </w:p>
    <w:bookmarkEnd w:id="97"/>
    <w:bookmarkStart w:id="98" w:name="Xebd9fbc0874ac437cee95afe649484f9b290fc1"/>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RA-5 appears as a</w:t>
      </w:r>
      <w:r>
        <w:t xml:space="preserve"> </w:t>
      </w:r>
      <w:r>
        <w:rPr>
          <w:i/>
          <w:iCs/>
        </w:rPr>
        <w:t xml:space="preserve">handoff</w:t>
      </w:r>
      <w:r>
        <w:t xml:space="preserve"> </w:t>
      </w:r>
      <w:r>
        <w:t xml:space="preserve">row — the assessment is the Vulnerability Management book’s; this book</w:t>
      </w:r>
      <w:r>
        <w:t xml:space="preserve"> </w:t>
      </w:r>
      <w:r>
        <w:t xml:space="preserve">closes the SI-2 and CM families that act on it.</w:t>
      </w:r>
    </w:p>
    <w:p>
      <w:pPr>
        <w:pStyle w:val="TableCaption"/>
      </w:pPr>
      <w:r>
        <w:t xml:space="preserve">Authorities Closed Here — Patch &amp; Systems Management (multi-CSP SI-2/CM) († = Closure-Necessity anchor: no alternate closure path)</w:t>
      </w:r>
    </w:p>
    <w:tbl>
      <w:tblPr>
        <w:tblStyle w:val="Table"/>
        <w:tblW w:type="pct" w:w="5000"/>
        <w:tblLayout w:type="fixed"/>
        <w:tblLook w:firstRow="1" w:lastRow="0" w:firstColumn="0" w:lastColumn="0" w:noHBand="0" w:noVBand="0" w:val="0020"/>
        <w:tblCaption w:val="Authorities Closed Here — Patch &amp; Systems Management (multi-CSP SI-2/CM)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 †</w:t>
            </w:r>
          </w:p>
        </w:tc>
        <w:tc>
          <w:tcPr/>
          <w:p>
            <w:pPr>
              <w:pStyle w:val="Compact"/>
            </w:pPr>
            <w:r>
              <w:t xml:space="preserve">System Component Inventory</w:t>
            </w:r>
          </w:p>
        </w:tc>
        <w:tc>
          <w:tcPr/>
          <w:p>
            <w:pPr>
              <w:pStyle w:val="Compact"/>
            </w:pPr>
            <w:r>
              <w:t xml:space="preserve">IPAM-keyed asset identity as the join key correlating all native-stack inventories (naming-plane necessity)</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Assessment handoff FROM Book 11 (scan measures the gap; this book actuates remediation)</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KSI-MLA</w:t>
            </w:r>
          </w:p>
        </w:tc>
        <w:tc>
          <w:tcPr/>
          <w:p>
            <w:pPr>
              <w:pStyle w:val="Compact"/>
            </w:pPr>
            <w:r>
              <w:t xml:space="preserve">No</w:t>
            </w:r>
          </w:p>
        </w:tc>
      </w:tr>
      <w:tr>
        <w:tc>
          <w:tcPr/>
          <w:p>
            <w:pPr>
              <w:pStyle w:val="Compact"/>
            </w:pPr>
            <w:r>
              <w:t xml:space="preserve">CM-2</w:t>
            </w:r>
          </w:p>
        </w:tc>
        <w:tc>
          <w:tcPr/>
          <w:p>
            <w:pPr>
              <w:pStyle w:val="Compact"/>
            </w:pPr>
            <w:r>
              <w:t xml:space="preserve">Baseline Configuration</w:t>
            </w:r>
          </w:p>
        </w:tc>
        <w:tc>
          <w:tcPr/>
          <w:p>
            <w:pPr>
              <w:pStyle w:val="Compact"/>
            </w:pPr>
            <w:r>
              <w:t xml:space="preserve">Desired-state config baseline per platform (Azure Machine Config, SSM State Manager, Aria, Ansible)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Drift detection + reconciliation against the baseline; drift record to the evidence contract</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SI-2 †</w:t>
            </w:r>
          </w:p>
        </w:tc>
        <w:tc>
          <w:tcPr/>
          <w:p>
            <w:pPr>
              <w:pStyle w:val="Compact"/>
            </w:pPr>
            <w:r>
              <w:t xml:space="preserve">Flaw Remediation</w:t>
            </w:r>
          </w:p>
        </w:tc>
        <w:tc>
          <w:tcPr/>
          <w:p>
            <w:pPr>
              <w:pStyle w:val="Compact"/>
            </w:pPr>
            <w:r>
              <w:t xml:space="preserve">Platform-native patch orchestration per CSP × OS (Intune/Arc, SSM, OS Mgmt Hub/Ksplice, vLCM, Satellite/Ansible)</w:t>
            </w:r>
          </w:p>
        </w:tc>
        <w:tc>
          <w:tcPr/>
          <w:p>
            <w:pPr>
              <w:pStyle w:val="Compact"/>
            </w:pPr>
            <w:r>
              <w:t xml:space="preserve">FedRAMP Moderate</w:t>
            </w:r>
          </w:p>
        </w:tc>
        <w:tc>
          <w:tcPr/>
          <w:p>
            <w:pPr>
              <w:pStyle w:val="Compact"/>
            </w:pPr>
            <w:r>
              <w:t xml:space="preserve">NIST SP 800-53 Rev 5; CISA BOD 26-04; EO 14028</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SI-2(2)</w:t>
            </w:r>
          </w:p>
        </w:tc>
        <w:tc>
          <w:tcPr/>
          <w:p>
            <w:pPr>
              <w:pStyle w:val="Compact"/>
            </w:pPr>
            <w:r>
              <w:t xml:space="preserve">Automated Flaw Remediation Status</w:t>
            </w:r>
          </w:p>
        </w:tc>
        <w:tc>
          <w:tcPr/>
          <w:p>
            <w:pPr>
              <w:pStyle w:val="Compact"/>
            </w:pPr>
            <w:r>
              <w:t xml:space="preserve">Machine-readable remediation-status record emitted by each native stack into the unified evidence contract</w:t>
            </w:r>
          </w:p>
        </w:tc>
        <w:tc>
          <w:tcPr/>
          <w:p>
            <w:pPr>
              <w:pStyle w:val="Compact"/>
            </w:pPr>
            <w:r>
              <w:t xml:space="preserve">FedRAMP Moderate</w:t>
            </w:r>
          </w:p>
        </w:tc>
        <w:tc>
          <w:tcPr/>
          <w:p>
            <w:pPr>
              <w:pStyle w:val="Compact"/>
            </w:pPr>
            <w:r>
              <w:t xml:space="preserve">NIST SP 800-53 Rev 5; CISA CDM</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SI-2(3)</w:t>
            </w:r>
          </w:p>
        </w:tc>
        <w:tc>
          <w:tcPr/>
          <w:p>
            <w:pPr>
              <w:pStyle w:val="Compact"/>
            </w:pPr>
            <w:r>
              <w:t xml:space="preserve">Time to Remediate Flaws and Benchmarks for Corrective Actions</w:t>
            </w:r>
          </w:p>
        </w:tc>
        <w:tc>
          <w:tcPr/>
          <w:p>
            <w:pPr>
              <w:pStyle w:val="Compact"/>
            </w:pPr>
            <w:r>
              <w:t xml:space="preserve">Remediation-SLA class per asset, keyed to KEV/exposure (BOD 26-04 four-variable model)</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w:t>
            </w:r>
          </w:p>
        </w:tc>
        <w:tc>
          <w:tcPr/>
          <w:p>
            <w:pPr>
              <w:pStyle w:val="Compact"/>
            </w:pPr>
            <w:r>
              <w:t xml:space="preserve">No</w:t>
            </w:r>
          </w:p>
        </w:tc>
      </w:tr>
    </w:tbl>
    <w:bookmarkEnd w:id="98"/>
    <w:bookmarkStart w:id="100" w:name="fedramp-20x-ksi-alignment-1"/>
    <w:p>
      <w:pPr>
        <w:pStyle w:val="Heading1"/>
      </w:pPr>
      <w:r>
        <w:t xml:space="preserve">FedRAMP 20x KSI Alignment</w:t>
      </w:r>
    </w:p>
    <w:p>
      <w:pPr>
        <w:pStyle w:val="FirstParagraph"/>
      </w:pPr>
      <w:r>
        <w:t xml:space="preserve">SI-2 and its enhancements feed</w:t>
      </w:r>
      <w:r>
        <w:t xml:space="preserve"> </w:t>
      </w:r>
      <w:r>
        <w:rPr>
          <w:b/>
          <w:bCs/>
        </w:rPr>
        <w:t xml:space="preserve">KSI-SVC</w:t>
      </w:r>
      <w:r>
        <w:t xml:space="preserve"> </w:t>
      </w:r>
      <w:r>
        <w:t xml:space="preserve">(Service Configuration) and</w:t>
      </w:r>
      <w:r>
        <w:t xml:space="preserve"> </w:t>
      </w:r>
      <w:r>
        <w:rPr>
          <w:b/>
          <w:bCs/>
        </w:rPr>
        <w:t xml:space="preserve">KSI-MLA</w:t>
      </w:r>
      <w:r>
        <w:t xml:space="preserve"> </w:t>
      </w:r>
      <w:r>
        <w:t xml:space="preserve">(Monitoring, Logging, and Auditing); CM-2 and CM-6 feed</w:t>
      </w:r>
      <w:r>
        <w:t xml:space="preserve"> </w:t>
      </w:r>
      <w:r>
        <w:rPr>
          <w:b/>
          <w:bCs/>
        </w:rPr>
        <w:t xml:space="preserve">KSI-CMT</w:t>
      </w:r>
      <w:r>
        <w:t xml:space="preserve"> </w:t>
      </w:r>
      <w:r>
        <w:t xml:space="preserve">(Change Management), and CM-8 feeds</w:t>
      </w:r>
      <w:r>
        <w:t xml:space="preserve"> </w:t>
      </w:r>
      <w:r>
        <w:rPr>
          <w:b/>
          <w:bCs/>
        </w:rPr>
        <w:t xml:space="preserve">KSI-PIY</w:t>
      </w:r>
      <w:r>
        <w:t xml:space="preserve"> </w:t>
      </w:r>
      <w:r>
        <w:t xml:space="preserve">(Policy and Inventory). In each case the KSI is attested from the unified</w:t>
      </w:r>
      <w:r>
        <w:t xml:space="preserve"> </w:t>
      </w:r>
      <w:r>
        <w:t xml:space="preserve">compliance record — the same record every native stack emits — not from a</w:t>
      </w:r>
      <w:r>
        <w:t xml:space="preserve"> </w:t>
      </w:r>
      <w:r>
        <w:t xml:space="preserve">single-tenant scan, which is why the</w:t>
      </w:r>
      <w:r>
        <w:t xml:space="preserve"> </w:t>
      </w:r>
      <w:r>
        <w:rPr>
          <w:i/>
          <w:iCs/>
        </w:rPr>
        <w:t xml:space="preserve">Tool-attestable?</w:t>
      </w:r>
      <w:r>
        <w:t xml:space="preserve"> </w:t>
      </w:r>
      <w:r>
        <w:t xml:space="preserve">column is</w:t>
      </w:r>
      <w:r>
        <w:t xml:space="preserve"> </w:t>
      </w:r>
      <w:r>
        <w:rPr>
          <w:b/>
          <w:bCs/>
        </w:rPr>
        <w:t xml:space="preserve">No</w:t>
      </w:r>
      <w:r>
        <w:t xml:space="preserve"> </w:t>
      </w:r>
      <w:r>
        <w:t xml:space="preserve">and the</w:t>
      </w:r>
      <w:r>
        <w:t xml:space="preserve"> </w:t>
      </w:r>
      <w:r>
        <w:t xml:space="preserve">evidence routes through the coordination contract and CDM. This is the multi-CSP</w:t>
      </w:r>
      <w:r>
        <w:t xml:space="preserve"> </w:t>
      </w:r>
      <w:r>
        <w:t xml:space="preserve">generalization of the machine-readable RA-5/SI-2 artifact the Vulnerability</w:t>
      </w:r>
      <w:r>
        <w:t xml:space="preserve"> </w:t>
      </w:r>
      <w:r>
        <w:t xml:space="preserve">Management book produces for the Microsoft estate.</w:t>
      </w:r>
    </w:p>
    <w:bookmarkStart w:id="99" w:name="stack-selection-status"/>
    <w:p>
      <w:pPr>
        <w:pStyle w:val="Heading2"/>
      </w:pPr>
      <w:r>
        <w:t xml:space="preserve">Stack Selection Status</w:t>
      </w:r>
    </w:p>
    <w:p>
      <w:pPr>
        <w:pStyle w:val="FirstParagraph"/>
      </w:pPr>
      <w:r>
        <w:t xml:space="preserve">Patch and systems-management stack selections follow the agency’s platform</w:t>
      </w:r>
      <w:r>
        <w:t xml:space="preserve"> </w:t>
      </w:r>
      <w:r>
        <w:t xml:space="preserve">footprint and are pending procurement review. The native stacks mapped here are</w:t>
      </w:r>
      <w:r>
        <w:t xml:space="preserve"> </w:t>
      </w:r>
      <w:r>
        <w:t xml:space="preserve">each FedRAMP-authorized CSP capabilities; the cross-CSP overlay option</w:t>
      </w:r>
      <w:r>
        <w:t xml:space="preserve"> </w:t>
      </w:r>
      <w:r>
        <w:t xml:space="preserve">(Tanium / BigFix / Ivanti) is an alternative, not a requirement. Final selection</w:t>
      </w:r>
      <w:r>
        <w:t xml:space="preserve"> </w:t>
      </w:r>
      <w:r>
        <w:t xml:space="preserve">requires verification of each stack’s authorization on the FedRAMP Marketplace,</w:t>
      </w:r>
      <w:r>
        <w:t xml:space="preserve"> </w:t>
      </w:r>
      <w:r>
        <w:t xml:space="preserve">plus agency-specific environment testing and procurement authority.</w:t>
      </w:r>
    </w:p>
    <w:bookmarkEnd w:id="99"/>
    <w:bookmarkEnd w:id="100"/>
    <w:bookmarkStart w:id="116" w:name="references"/>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SI-2, SI-2(2), SI-2(3), CM-2, CM-6, CM-8, RA-5</w:t>
            </w:r>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101">
              <w:r>
                <w:rPr>
                  <w:rStyle w:val="Hyperlink"/>
                </w:rPr>
                <w:t xml:space="preserve">https://www.cisa.gov/known-exploited-vulnerabilities-catalog</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102">
              <w:r>
                <w:rPr>
                  <w:rStyle w:val="Hyperlink"/>
                </w:rPr>
                <w:t xml:space="preserve">https://www.cisa.gov/news-events/directives/bod-23-01-improving-asset-visibility-and-vulnerability-detection-federal-networks</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103">
              <w:r>
                <w:rPr>
                  <w:rStyle w:val="Hyperlink"/>
                </w:rPr>
                <w:t xml:space="preserve">https://www.cisa.gov/cdm</w:t>
              </w:r>
            </w:hyperlink>
          </w:p>
        </w:tc>
      </w:tr>
      <w:tr>
        <w:tc>
          <w:tcPr/>
          <w:p>
            <w:pPr>
              <w:pStyle w:val="Compact"/>
            </w:pPr>
            <w:r>
              <w:t xml:space="preserve">FedRAMP Marketplace</w:t>
            </w:r>
          </w:p>
        </w:tc>
        <w:tc>
          <w:tcPr/>
          <w:p>
            <w:pPr>
              <w:pStyle w:val="Compact"/>
            </w:pPr>
            <w:r>
              <w:t xml:space="preserve">CSP service authorization verification —</w:t>
            </w:r>
            <w:r>
              <w:t xml:space="preserve"> </w:t>
            </w:r>
            <w:hyperlink r:id="rId104">
              <w:r>
                <w:rPr>
                  <w:rStyle w:val="Hyperlink"/>
                </w:rPr>
                <w:t xml:space="preserve">https://marketplace.fedramp.gov/</w:t>
              </w:r>
            </w:hyperlink>
          </w:p>
        </w:tc>
      </w:tr>
      <w:tr>
        <w:tc>
          <w:tcPr/>
          <w:p>
            <w:pPr>
              <w:pStyle w:val="Compact"/>
            </w:pPr>
            <w:r>
              <w:t xml:space="preserve">Microsoft Azure Update Manager</w:t>
            </w:r>
          </w:p>
        </w:tc>
        <w:tc>
          <w:tcPr/>
          <w:p>
            <w:pPr>
              <w:pStyle w:val="Compact"/>
            </w:pPr>
            <w:r>
              <w:t xml:space="preserve">Windows/Linux update management (+ Arc) —</w:t>
            </w:r>
            <w:r>
              <w:t xml:space="preserve"> </w:t>
            </w:r>
            <w:hyperlink r:id="rId105">
              <w:r>
                <w:rPr>
                  <w:rStyle w:val="Hyperlink"/>
                </w:rPr>
                <w:t xml:space="preserve">https://learn.microsoft.com/azure/update-manager/</w:t>
              </w:r>
            </w:hyperlink>
          </w:p>
        </w:tc>
      </w:tr>
      <w:tr>
        <w:tc>
          <w:tcPr/>
          <w:p>
            <w:pPr>
              <w:pStyle w:val="Compact"/>
            </w:pPr>
            <w:r>
              <w:t xml:space="preserve">Microsoft Intune / Windows Update for Business</w:t>
            </w:r>
          </w:p>
        </w:tc>
        <w:tc>
          <w:tcPr/>
          <w:p>
            <w:pPr>
              <w:pStyle w:val="Compact"/>
            </w:pPr>
            <w:r>
              <w:t xml:space="preserve">Windows/macOS/mobile patch delivery —</w:t>
            </w:r>
            <w:r>
              <w:t xml:space="preserve"> </w:t>
            </w:r>
            <w:hyperlink r:id="rId106">
              <w:r>
                <w:rPr>
                  <w:rStyle w:val="Hyperlink"/>
                </w:rPr>
                <w:t xml:space="preserve">https://learn.microsoft.com/mem/intune/</w:t>
              </w:r>
            </w:hyperlink>
          </w:p>
        </w:tc>
      </w:tr>
      <w:tr>
        <w:tc>
          <w:tcPr/>
          <w:p>
            <w:pPr>
              <w:pStyle w:val="Compact"/>
            </w:pPr>
            <w:r>
              <w:t xml:space="preserve">AWS Systems Manager Patch Manager</w:t>
            </w:r>
          </w:p>
        </w:tc>
        <w:tc>
          <w:tcPr/>
          <w:p>
            <w:pPr>
              <w:pStyle w:val="Compact"/>
            </w:pPr>
            <w:r>
              <w:t xml:space="preserve">Windows/Linux patch orchestration —</w:t>
            </w:r>
            <w:r>
              <w:t xml:space="preserve"> </w:t>
            </w:r>
            <w:hyperlink r:id="rId107">
              <w:r>
                <w:rPr>
                  <w:rStyle w:val="Hyperlink"/>
                </w:rPr>
                <w:t xml:space="preserve">https://docs.aws.amazon.com/systems-manager/latest/userguide/systems-manager-patch.html</w:t>
              </w:r>
            </w:hyperlink>
          </w:p>
        </w:tc>
      </w:tr>
      <w:tr>
        <w:tc>
          <w:tcPr/>
          <w:p>
            <w:pPr>
              <w:pStyle w:val="Compact"/>
            </w:pPr>
            <w:r>
              <w:t xml:space="preserve">Amazon Inspector</w:t>
            </w:r>
          </w:p>
        </w:tc>
        <w:tc>
          <w:tcPr/>
          <w:p>
            <w:pPr>
              <w:pStyle w:val="Compact"/>
            </w:pPr>
            <w:r>
              <w:t xml:space="preserve">Vulnerability assessment (AWS handoff) —</w:t>
            </w:r>
            <w:r>
              <w:t xml:space="preserve"> </w:t>
            </w:r>
            <w:hyperlink r:id="rId108">
              <w:r>
                <w:rPr>
                  <w:rStyle w:val="Hyperlink"/>
                </w:rPr>
                <w:t xml:space="preserve">https://docs.aws.amazon.com/inspector/latest/user/what-is-inspector.html</w:t>
              </w:r>
            </w:hyperlink>
          </w:p>
        </w:tc>
      </w:tr>
      <w:tr>
        <w:tc>
          <w:tcPr/>
          <w:p>
            <w:pPr>
              <w:pStyle w:val="Compact"/>
            </w:pPr>
            <w:r>
              <w:t xml:space="preserve">Oracle OS Management Hub</w:t>
            </w:r>
          </w:p>
        </w:tc>
        <w:tc>
          <w:tcPr/>
          <w:p>
            <w:pPr>
              <w:pStyle w:val="Compact"/>
            </w:pPr>
            <w:r>
              <w:t xml:space="preserve">OCI Linux/Windows management —</w:t>
            </w:r>
            <w:r>
              <w:t xml:space="preserve"> </w:t>
            </w:r>
            <w:hyperlink r:id="rId109">
              <w:r>
                <w:rPr>
                  <w:rStyle w:val="Hyperlink"/>
                </w:rPr>
                <w:t xml:space="preserve">https://docs.oracle.com/en-us/iaas/osmh/doc/home.htm</w:t>
              </w:r>
            </w:hyperlink>
          </w:p>
        </w:tc>
      </w:tr>
      <w:tr>
        <w:tc>
          <w:tcPr/>
          <w:p>
            <w:pPr>
              <w:pStyle w:val="Compact"/>
            </w:pPr>
            <w:r>
              <w:t xml:space="preserve">Oracle Ksplice</w:t>
            </w:r>
          </w:p>
        </w:tc>
        <w:tc>
          <w:tcPr/>
          <w:p>
            <w:pPr>
              <w:pStyle w:val="Compact"/>
            </w:pPr>
            <w:r>
              <w:t xml:space="preserve">Zero-downtime kernel patching —</w:t>
            </w:r>
            <w:r>
              <w:t xml:space="preserve"> </w:t>
            </w:r>
            <w:hyperlink r:id="rId110">
              <w:r>
                <w:rPr>
                  <w:rStyle w:val="Hyperlink"/>
                </w:rPr>
                <w:t xml:space="preserve">https://docs.oracle.com/en-us/iaas/oracle-linux/ksplice/index.htm</w:t>
              </w:r>
            </w:hyperlink>
          </w:p>
        </w:tc>
      </w:tr>
      <w:tr>
        <w:tc>
          <w:tcPr/>
          <w:p>
            <w:pPr>
              <w:pStyle w:val="Compact"/>
            </w:pPr>
            <w:r>
              <w:t xml:space="preserve">VMware vSphere Lifecycle Manager</w:t>
            </w:r>
          </w:p>
        </w:tc>
        <w:tc>
          <w:tcPr/>
          <w:p>
            <w:pPr>
              <w:pStyle w:val="Compact"/>
            </w:pPr>
            <w:r>
              <w:t xml:space="preserve">ESXi + firmware lifecycle —</w:t>
            </w:r>
            <w:r>
              <w:t xml:space="preserve"> </w:t>
            </w:r>
            <w:hyperlink r:id="rId111">
              <w:r>
                <w:rPr>
                  <w:rStyle w:val="Hyperlink"/>
                </w:rPr>
                <w:t xml:space="preserve">https://docs.vmware.com/en/VMware-vSphere/</w:t>
              </w:r>
            </w:hyperlink>
          </w:p>
        </w:tc>
      </w:tr>
      <w:tr>
        <w:tc>
          <w:tcPr/>
          <w:p>
            <w:pPr>
              <w:pStyle w:val="Compact"/>
            </w:pPr>
            <w:r>
              <w:t xml:space="preserve">VMware Workspace ONE UEM</w:t>
            </w:r>
          </w:p>
        </w:tc>
        <w:tc>
          <w:tcPr/>
          <w:p>
            <w:pPr>
              <w:pStyle w:val="Compact"/>
            </w:pPr>
            <w:r>
              <w:t xml:space="preserve">Endpoint OS patch management —</w:t>
            </w:r>
            <w:r>
              <w:t xml:space="preserve"> </w:t>
            </w:r>
            <w:hyperlink r:id="rId112">
              <w:r>
                <w:rPr>
                  <w:rStyle w:val="Hyperlink"/>
                </w:rPr>
                <w:t xml:space="preserve">https://docs.omnissa.com/</w:t>
              </w:r>
            </w:hyperlink>
          </w:p>
        </w:tc>
      </w:tr>
      <w:tr>
        <w:tc>
          <w:tcPr/>
          <w:p>
            <w:pPr>
              <w:pStyle w:val="Compact"/>
            </w:pPr>
            <w:r>
              <w:t xml:space="preserve">Red Hat Satellite</w:t>
            </w:r>
          </w:p>
        </w:tc>
        <w:tc>
          <w:tcPr/>
          <w:p>
            <w:pPr>
              <w:pStyle w:val="Compact"/>
            </w:pPr>
            <w:r>
              <w:t xml:space="preserve">Content and patch management —</w:t>
            </w:r>
            <w:r>
              <w:t xml:space="preserve"> </w:t>
            </w:r>
            <w:hyperlink r:id="rId113">
              <w:r>
                <w:rPr>
                  <w:rStyle w:val="Hyperlink"/>
                </w:rPr>
                <w:t xml:space="preserve">https://docs.redhat.com/en/documentation/red_hat_satellite</w:t>
              </w:r>
            </w:hyperlink>
          </w:p>
        </w:tc>
      </w:tr>
      <w:tr>
        <w:tc>
          <w:tcPr/>
          <w:p>
            <w:pPr>
              <w:pStyle w:val="Compact"/>
            </w:pPr>
            <w:r>
              <w:t xml:space="preserve">Red Hat Ansible Automation Platform</w:t>
            </w:r>
          </w:p>
        </w:tc>
        <w:tc>
          <w:tcPr/>
          <w:p>
            <w:pPr>
              <w:pStyle w:val="Compact"/>
            </w:pPr>
            <w:r>
              <w:t xml:space="preserve">Configuration/remediation actuation —</w:t>
            </w:r>
            <w:r>
              <w:t xml:space="preserve"> </w:t>
            </w:r>
            <w:hyperlink r:id="rId114">
              <w:r>
                <w:rPr>
                  <w:rStyle w:val="Hyperlink"/>
                </w:rPr>
                <w:t xml:space="preserve">https://docs.redhat.com/en/documentation/red_hat_ansible_automation_platform</w:t>
              </w:r>
            </w:hyperlink>
          </w:p>
        </w:tc>
      </w:tr>
    </w:tbl>
    <w:bookmarkStart w:id="115" w:name="draft-proposal-subject-to-review-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115"/>
    <w:p>
      <w:pPr>
        <w:pStyle w:val="BodyText"/>
      </w:pPr>
      <w:r>
        <w:rPr>
          <w:b/>
          <w:bCs/>
        </w:rPr>
        <w:t xml:space="preserve">Provisional position.</w:t>
      </w:r>
      <w:r>
        <w:t xml:space="preserve"> </w:t>
      </w:r>
      <w:r>
        <w:t xml:space="preserve">This book was drafted at temporary series slot 22; its</w:t>
      </w:r>
      <w:r>
        <w:t xml:space="preserve"> </w:t>
      </w:r>
      <w:r>
        <w:t xml:space="preserve">intended home is</w:t>
      </w:r>
      <w:r>
        <w:t xml:space="preserve"> </w:t>
      </w:r>
      <w:r>
        <w:rPr>
          <w:b/>
          <w:bCs/>
        </w:rPr>
        <w:t xml:space="preserve">Volume III (Security Operations)</w:t>
      </w:r>
      <w:r>
        <w:t xml:space="preserve">, alongside the Vulnerability</w:t>
      </w:r>
      <w:r>
        <w:t xml:space="preserve"> </w:t>
      </w:r>
      <w:r>
        <w:t xml:space="preserve">Management and Patch &amp; Systems Management books. Cross-references name other</w:t>
      </w:r>
      <w:r>
        <w:t xml:space="preserve"> </w:t>
      </w:r>
      <w:r>
        <w:t xml:space="preserve">books by</w:t>
      </w:r>
      <w:r>
        <w:t xml:space="preserve"> </w:t>
      </w:r>
      <w:r>
        <w:rPr>
          <w:b/>
          <w:bCs/>
        </w:rPr>
        <w:t xml:space="preserve">title and role</w:t>
      </w:r>
      <w:r>
        <w:t xml:space="preserve">, not number.</w:t>
      </w:r>
    </w:p>
    <w:p>
      <w:pPr>
        <w:pStyle w:val="BodyText"/>
      </w:pPr>
      <w:r>
        <w:rPr>
          <w:b/>
          <w:bCs/>
        </w:rPr>
        <w:t xml:space="preserve">Series Context</w:t>
      </w:r>
      <w:r>
        <w:t xml:space="preserve"> </w:t>
      </w:r>
      <w:r>
        <w:t xml:space="preserve">— The Vulnerability Management book finds missing patches on</w:t>
      </w:r>
      <w:r>
        <w:t xml:space="preserve"> </w:t>
      </w:r>
      <w:r>
        <w:t xml:space="preserve">hosts; the Patch &amp; Systems Management book applies them (SI-2) across platforms.</w:t>
      </w:r>
      <w:r>
        <w:t xml:space="preserve"> </w:t>
      </w:r>
      <w:r>
        <w:t xml:space="preserve">Neither sees the risks that live</w:t>
      </w:r>
      <w:r>
        <w:t xml:space="preserve"> </w:t>
      </w:r>
      <w:r>
        <w:rPr>
          <w:i/>
          <w:iCs/>
        </w:rPr>
        <w:t xml:space="preserve">in the cloud control plane and the container</w:t>
      </w:r>
      <w:r>
        <w:rPr>
          <w:i/>
          <w:iCs/>
        </w:rPr>
        <w:t xml:space="preserve"> </w:t>
      </w:r>
      <w:r>
        <w:rPr>
          <w:i/>
          <w:iCs/>
        </w:rPr>
        <w:t xml:space="preserve">layer</w:t>
      </w:r>
      <w:r>
        <w:t xml:space="preserve">: a world-readable storage bucket, an over-permissive IAM role, an</w:t>
      </w:r>
      <w:r>
        <w:t xml:space="preserve"> </w:t>
      </w:r>
      <w:r>
        <w:t xml:space="preserve">internet-exposed workload, an unscanned container image, a privileged pod. This</w:t>
      </w:r>
      <w:r>
        <w:t xml:space="preserve"> </w:t>
      </w:r>
      <w:r>
        <w:t xml:space="preserve">book closes those —</w:t>
      </w:r>
      <w:r>
        <w:t xml:space="preserve"> </w:t>
      </w:r>
      <w:r>
        <w:rPr>
          <w:b/>
          <w:bCs/>
        </w:rPr>
        <w:t xml:space="preserve">cloud security posture management (CSPM)</w:t>
      </w:r>
      <w:r>
        <w:t xml:space="preserve">,</w:t>
      </w:r>
      <w:r>
        <w:t xml:space="preserve"> </w:t>
      </w:r>
      <w:r>
        <w:rPr>
          <w:b/>
          <w:bCs/>
        </w:rPr>
        <w:t xml:space="preserve">cloud-native</w:t>
      </w:r>
      <w:r>
        <w:rPr>
          <w:b/>
          <w:bCs/>
        </w:rPr>
        <w:t xml:space="preserve"> </w:t>
      </w:r>
      <w:r>
        <w:rPr>
          <w:b/>
          <w:bCs/>
        </w:rPr>
        <w:t xml:space="preserve">application protection (CNAPP)</w:t>
      </w:r>
      <w:r>
        <w:t xml:space="preserve">, and</w:t>
      </w:r>
      <w:r>
        <w:t xml:space="preserve"> </w:t>
      </w:r>
      <w:r>
        <w:rPr>
          <w:b/>
          <w:bCs/>
        </w:rPr>
        <w:t xml:space="preserve">Kubernetes security</w:t>
      </w:r>
      <w:r>
        <w:t xml:space="preserve"> </w:t>
      </w:r>
      <w:r>
        <w:t xml:space="preserve">— and routes their</w:t>
      </w:r>
      <w:r>
        <w:t xml:space="preserve"> </w:t>
      </w:r>
      <w:r>
        <w:t xml:space="preserve">findings into the evidence fabric like every other source.</w:t>
      </w:r>
    </w:p>
    <w:bookmarkEnd w:id="116"/>
    <w:bookmarkStart w:id="117" w:name="what-this-document-addresses-3"/>
    <w:p>
      <w:pPr>
        <w:pStyle w:val="Heading1"/>
      </w:pPr>
      <w:r>
        <w:t xml:space="preserve">What This Document Addresses</w:t>
      </w:r>
    </w:p>
    <w:p>
      <w:pPr>
        <w:pStyle w:val="FirstParagraph"/>
      </w:pPr>
      <w:r>
        <w:t xml:space="preserve">A host vulnerability scanner answers</w:t>
      </w:r>
      <w:r>
        <w:t xml:space="preserve"> </w:t>
      </w:r>
      <w:r>
        <w:t xml:space="preserve">“what CVEs are on this VM.”</w:t>
      </w:r>
      <w:r>
        <w:t xml:space="preserve"> </w:t>
      </w:r>
      <w:r>
        <w:t xml:space="preserve">It does not</w:t>
      </w:r>
      <w:r>
        <w:t xml:space="preserve"> </w:t>
      </w:r>
      <w:r>
        <w:t xml:space="preserve">answer</w:t>
      </w:r>
      <w:r>
        <w:t xml:space="preserve"> </w:t>
      </w:r>
      <w:r>
        <w:t xml:space="preserve">“is this storage bucket public,”</w:t>
      </w:r>
      <w:r>
        <w:t xml:space="preserve"> </w:t>
      </w:r>
      <w:r>
        <w:t xml:space="preserve">“can this workload reach the internet,”</w:t>
      </w:r>
      <w:r>
        <w:t xml:space="preserve"> </w:t>
      </w:r>
      <w:r>
        <w:t xml:space="preserve">“does this IAM role grant far more than it uses,”</w:t>
      </w:r>
      <w:r>
        <w:t xml:space="preserve"> </w:t>
      </w:r>
      <w:r>
        <w:t xml:space="preserve">or</w:t>
      </w:r>
      <w:r>
        <w:t xml:space="preserve"> </w:t>
      </w:r>
      <w:r>
        <w:t xml:space="preserve">“was this container image</w:t>
      </w:r>
      <w:r>
        <w:t xml:space="preserve"> </w:t>
      </w:r>
      <w:r>
        <w:t xml:space="preserve">scanned before it ran.”</w:t>
      </w:r>
      <w:r>
        <w:t xml:space="preserve"> </w:t>
      </w:r>
      <w:r>
        <w:t xml:space="preserve">Those are</w:t>
      </w:r>
      <w:r>
        <w:t xml:space="preserve"> </w:t>
      </w:r>
      <w:r>
        <w:rPr>
          <w:b/>
          <w:bCs/>
        </w:rPr>
        <w:t xml:space="preserve">cloud-control-plane and container-layer</w:t>
      </w:r>
      <w:r>
        <w:t xml:space="preserve"> </w:t>
      </w:r>
      <w:r>
        <w:t xml:space="preserve">questions, and on a multi-cloud estate (AWS GovCloud, Azure, GCP, OCI, VMware,</w:t>
      </w:r>
      <w:r>
        <w:t xml:space="preserve"> </w:t>
      </w:r>
      <w:r>
        <w:t xml:space="preserve">plus Kubernetes — AKS/EKS/GKE/OKE/OpenShift) they are where a dominant class of</w:t>
      </w:r>
      <w:r>
        <w:t xml:space="preserve"> </w:t>
      </w:r>
      <w:r>
        <w:t xml:space="preserve">cloud incidents begins: misconfiguration, excessive entitlement, and exposure —</w:t>
      </w:r>
      <w:r>
        <w:t xml:space="preserve"> </w:t>
      </w:r>
      <w:r>
        <w:t xml:space="preserve">not an unpatched kernel.</w:t>
      </w:r>
    </w:p>
    <w:p>
      <w:pPr>
        <w:pStyle w:val="BodyText"/>
      </w:pPr>
      <w:r>
        <w:t xml:space="preserve">This book closes that surface with three overlapping disciplines:</w:t>
      </w:r>
    </w:p>
    <w:p>
      <w:pPr>
        <w:pStyle w:val="Compact"/>
        <w:numPr>
          <w:ilvl w:val="0"/>
          <w:numId w:val="1013"/>
        </w:numPr>
      </w:pPr>
      <w:r>
        <w:rPr>
          <w:b/>
          <w:bCs/>
        </w:rPr>
        <w:t xml:space="preserve">CSPM</w:t>
      </w:r>
      <w:r>
        <w:t xml:space="preserve"> </w:t>
      </w:r>
      <w:r>
        <w:t xml:space="preserve">— continuous detection of cloud resource</w:t>
      </w:r>
      <w:r>
        <w:t xml:space="preserve"> </w:t>
      </w:r>
      <w:r>
        <w:rPr>
          <w:b/>
          <w:bCs/>
        </w:rPr>
        <w:t xml:space="preserve">misconfiguration</w:t>
      </w:r>
      <w:r>
        <w:t xml:space="preserve"> </w:t>
      </w:r>
      <w:r>
        <w:t xml:space="preserve">against</w:t>
      </w:r>
      <w:r>
        <w:t xml:space="preserve"> </w:t>
      </w:r>
      <w:r>
        <w:t xml:space="preserve">a secure baseline, across every CSP (CM-6).</w:t>
      </w:r>
    </w:p>
    <w:p>
      <w:pPr>
        <w:pStyle w:val="Compact"/>
        <w:numPr>
          <w:ilvl w:val="0"/>
          <w:numId w:val="1013"/>
        </w:numPr>
      </w:pPr>
      <w:r>
        <w:rPr>
          <w:b/>
          <w:bCs/>
        </w:rPr>
        <w:t xml:space="preserve">CNAPP</w:t>
      </w:r>
      <w:r>
        <w:t xml:space="preserve"> </w:t>
      </w:r>
      <w:r>
        <w:t xml:space="preserve">— a unified platform spanning</w:t>
      </w:r>
      <w:r>
        <w:t xml:space="preserve"> </w:t>
      </w:r>
      <w:r>
        <w:rPr>
          <w:b/>
          <w:bCs/>
        </w:rPr>
        <w:t xml:space="preserve">workload vulnerability (CWPP)</w:t>
      </w:r>
      <w:r>
        <w:t xml:space="preserve">,</w:t>
      </w:r>
      <w:r>
        <w:t xml:space="preserve"> </w:t>
      </w:r>
      <w:r>
        <w:rPr>
          <w:b/>
          <w:bCs/>
        </w:rPr>
        <w:t xml:space="preserve">network exposure / attack-path</w:t>
      </w:r>
      <w:r>
        <w:t xml:space="preserve"> </w:t>
      </w:r>
      <w:r>
        <w:t xml:space="preserve">analysis,</w:t>
      </w:r>
      <w:r>
        <w:t xml:space="preserve"> </w:t>
      </w:r>
      <w:r>
        <w:rPr>
          <w:b/>
          <w:bCs/>
        </w:rPr>
        <w:t xml:space="preserve">entitlements (CIEM)</w:t>
      </w:r>
      <w:r>
        <w:t xml:space="preserve">, and</w:t>
      </w:r>
      <w:r>
        <w:t xml:space="preserve"> </w:t>
      </w:r>
      <w:r>
        <w:rPr>
          <w:b/>
          <w:bCs/>
        </w:rPr>
        <w:t xml:space="preserve">shift-left IaC/code</w:t>
      </w:r>
      <w:r>
        <w:t xml:space="preserve"> </w:t>
      </w:r>
      <w:r>
        <w:t xml:space="preserve">scanning.</w:t>
      </w:r>
    </w:p>
    <w:p>
      <w:pPr>
        <w:pStyle w:val="Compact"/>
        <w:numPr>
          <w:ilvl w:val="0"/>
          <w:numId w:val="1013"/>
        </w:numPr>
      </w:pPr>
      <w:r>
        <w:rPr>
          <w:b/>
          <w:bCs/>
        </w:rPr>
        <w:t xml:space="preserve">Kubernetes / container security</w:t>
      </w:r>
      <w:r>
        <w:t xml:space="preserve"> </w:t>
      </w:r>
      <w:r>
        <w:t xml:space="preserve">— image scanning,</w:t>
      </w:r>
      <w:r>
        <w:t xml:space="preserve"> </w:t>
      </w:r>
      <w:r>
        <w:rPr>
          <w:b/>
          <w:bCs/>
        </w:rPr>
        <w:t xml:space="preserve">admission control</w:t>
      </w:r>
      <w:r>
        <w:t xml:space="preserve">,</w:t>
      </w:r>
      <w:r>
        <w:t xml:space="preserve"> </w:t>
      </w:r>
      <w:r>
        <w:t xml:space="preserve">hardening (CM-7), and</w:t>
      </w:r>
      <w:r>
        <w:t xml:space="preserve"> </w:t>
      </w:r>
      <w:r>
        <w:rPr>
          <w:b/>
          <w:bCs/>
        </w:rPr>
        <w:t xml:space="preserve">runtime threat detection</w:t>
      </w:r>
      <w:r>
        <w:t xml:space="preserve"> </w:t>
      </w:r>
      <w:r>
        <w:t xml:space="preserve">(SI-3).</w:t>
      </w:r>
    </w:p>
    <w:bookmarkEnd w:id="117"/>
    <w:bookmarkStart w:id="119" w:name="X8e48236127be9f5a164ec6db61d0b49d58221e3"/>
    <w:p>
      <w:pPr>
        <w:pStyle w:val="Heading1"/>
      </w:pPr>
      <w:r>
        <w:t xml:space="preserve">CSPM — Misconfiguration Is the Cloud’s Dominant Risk (CM-6)</w:t>
      </w:r>
    </w:p>
    <w:p>
      <w:pPr>
        <w:pStyle w:val="FirstParagraph"/>
      </w:pPr>
      <w:r>
        <w:t xml:space="preserve">Misconfiguration is a configuration-settings control (CM-6) applied to</w:t>
      </w:r>
      <w:r>
        <w:t xml:space="preserve"> </w:t>
      </w:r>
      <w:r>
        <w:rPr>
          <w:i/>
          <w:iCs/>
        </w:rPr>
        <w:t xml:space="preserve">cloud</w:t>
      </w:r>
      <w:r>
        <w:rPr>
          <w:i/>
          <w:iCs/>
        </w:rPr>
        <w:t xml:space="preserve"> </w:t>
      </w:r>
      <w:r>
        <w:rPr>
          <w:i/>
          <w:iCs/>
        </w:rPr>
        <w:t xml:space="preserve">resources</w:t>
      </w:r>
      <w:r>
        <w:t xml:space="preserve"> </w:t>
      </w:r>
      <w:r>
        <w:t xml:space="preserve">rather than OS baselines: storage exposure, network security-group</w:t>
      </w:r>
      <w:r>
        <w:t xml:space="preserve"> </w:t>
      </w:r>
      <w:r>
        <w:t xml:space="preserve">rules, key/secret handling, logging gaps, IAM policy drift. CSPM detects it</w:t>
      </w:r>
      <w:r>
        <w:t xml:space="preserve"> </w:t>
      </w:r>
      <w:r>
        <w:t xml:space="preserve">continuously across CSPs and emits a</w:t>
      </w:r>
      <w:r>
        <w:t xml:space="preserve"> </w:t>
      </w:r>
      <w:r>
        <w:rPr>
          <w:rStyle w:val="VerbatimChar"/>
        </w:rPr>
        <w:t xml:space="preserve">baseline_conformance</w:t>
      </w:r>
      <w:r>
        <w:t xml:space="preserve"> </w:t>
      </w:r>
      <w:r>
        <w:t xml:space="preserve">verdict into the</w:t>
      </w:r>
      <w:r>
        <w:t xml:space="preserve"> </w:t>
      </w:r>
      <w:r>
        <w:t xml:space="preserve">evidence fabric’s contract. This is the cloud-plane complement to the Patch &amp;</w:t>
      </w:r>
      <w:r>
        <w:t xml:space="preserve"> </w:t>
      </w:r>
      <w:r>
        <w:t xml:space="preserve">Systems Management book’s OS-level CM-6 — same control, different layer; both</w:t>
      </w:r>
      <w:r>
        <w:t xml:space="preserve"> </w:t>
      </w:r>
      <w:r>
        <w:t xml:space="preserve">contribute.</w:t>
      </w:r>
    </w:p>
    <w:bookmarkStart w:id="118" w:name="Xa8b892403ef804d53f1d82e7dad01bd9a1e8546"/>
    <w:p>
      <w:pPr>
        <w:pStyle w:val="Heading2"/>
      </w:pPr>
      <w:r>
        <w:t xml:space="preserve">The Moderate decision — owned-tool priority across the multi-cloud estate</w:t>
      </w:r>
    </w:p>
    <w:p>
      <w:pPr>
        <w:pStyle w:val="FirstParagraph"/>
      </w:pPr>
      <w:r>
        <w:t xml:space="preserve">Under the Microsoft-preference rule (a Microsoft product is the default</w:t>
      </w:r>
      <w:r>
        <w:t xml:space="preserve"> </w:t>
      </w:r>
      <w:r>
        <w:rPr>
          <w:i/>
          <w:iCs/>
        </w:rPr>
        <w:t xml:space="preserve">when it</w:t>
      </w:r>
      <w:r>
        <w:rPr>
          <w:i/>
          <w:iCs/>
        </w:rPr>
        <w:t xml:space="preserve"> </w:t>
      </w:r>
      <w:r>
        <w:rPr>
          <w:i/>
          <w:iCs/>
        </w:rPr>
        <w:t xml:space="preserve">coordinates the multi-vendor surface at FedRAMP Moderate</w:t>
      </w:r>
      <w:r>
        <w:t xml:space="preserve"> </w:t>
      </w:r>
      <w:r>
        <w:t xml:space="preserve">— earned, not</w:t>
      </w:r>
      <w:r>
        <w:t xml:space="preserve"> </w:t>
      </w:r>
      <w:r>
        <w:t xml:space="preserve">automatic),</w:t>
      </w:r>
      <w:r>
        <w:t xml:space="preserve"> </w:t>
      </w:r>
      <w:r>
        <w:rPr>
          <w:b/>
          <w:bCs/>
        </w:rPr>
        <w:t xml:space="preserve">Microsoft Defender for Cloud</w:t>
      </w:r>
      <w:r>
        <w:t xml:space="preserve"> </w:t>
      </w:r>
      <w:r>
        <w:t xml:space="preserve">remains the coordinating default:</w:t>
      </w:r>
      <w:r>
        <w:t xml:space="preserve"> </w:t>
      </w:r>
      <w:r>
        <w:t xml:space="preserve">it does multi-cloud CSPM/CWPP ingestion across</w:t>
      </w:r>
      <w:r>
        <w:t xml:space="preserve"> </w:t>
      </w:r>
      <w:r>
        <w:rPr>
          <w:b/>
          <w:bCs/>
        </w:rPr>
        <w:t xml:space="preserve">Azure, AWS, and GCP</w:t>
      </w:r>
      <w:r>
        <w:t xml:space="preserve"> </w:t>
      </w:r>
      <w:r>
        <w:t xml:space="preserve">and is</w:t>
      </w:r>
      <w:r>
        <w:t xml:space="preserve"> </w:t>
      </w:r>
      <w:r>
        <w:t xml:space="preserve">available within GCC at</w:t>
      </w:r>
      <w:r>
        <w:t xml:space="preserve"> </w:t>
      </w:r>
      <w:r>
        <w:rPr>
          <w:b/>
          <w:bCs/>
        </w:rPr>
        <w:t xml:space="preserve">FedRAMP Moderate</w:t>
      </w:r>
      <w:r>
        <w:t xml:space="preserve"> </w:t>
      </w:r>
      <w:r>
        <w:t xml:space="preserve">— a clean fit for the Moderate-only</w:t>
      </w:r>
      <w:r>
        <w:t xml:space="preserve"> </w:t>
      </w:r>
      <w:r>
        <w:t xml:space="preserve">boundary. But where the agency already owns a platform-native mechanism, that</w:t>
      </w:r>
      <w:r>
        <w:t xml:space="preserve"> </w:t>
      </w:r>
      <w:r>
        <w:t xml:space="preserve">owned tool is primary for its own platform’s posture evidence, and Defender for</w:t>
      </w:r>
      <w:r>
        <w:t xml:space="preserve"> </w:t>
      </w:r>
      <w:r>
        <w:t xml:space="preserve">Cloud’s role there narrows to cross-account correlation rather than sole source:</w:t>
      </w:r>
    </w:p>
    <w:p>
      <w:pPr>
        <w:pStyle w:val="TableCaption"/>
      </w:pPr>
      <w:r>
        <w:t xml:space="preserve">Per-platform CSPM mechanism, ownership, and Moderate-boundary status</w:t>
      </w:r>
    </w:p>
    <w:tbl>
      <w:tblPr>
        <w:tblStyle w:val="Table"/>
        <w:tblW w:type="pct" w:w="5000"/>
        <w:tblLayout w:type="fixed"/>
        <w:tblLook w:firstRow="1" w:lastRow="0" w:firstColumn="0" w:lastColumn="0" w:noHBand="0" w:noVBand="0" w:val="0020"/>
        <w:tblCaption w:val="Per-platform CSPM mechanism, ownership, and Moderate-boundary statu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Primary mechanism</w:t>
            </w:r>
          </w:p>
        </w:tc>
        <w:tc>
          <w:tcPr/>
          <w:p>
            <w:pPr>
              <w:pStyle w:val="Compact"/>
            </w:pPr>
            <w:r>
              <w:t xml:space="preserve">Owned today</w:t>
            </w:r>
          </w:p>
        </w:tc>
        <w:tc>
          <w:tcPr/>
          <w:p>
            <w:pPr>
              <w:pStyle w:val="Compact"/>
            </w:pPr>
            <w:r>
              <w:t xml:space="preserve">FedRAMP status</w:t>
            </w:r>
          </w:p>
        </w:tc>
        <w:tc>
          <w:tcPr/>
          <w:p>
            <w:pPr>
              <w:pStyle w:val="Compact"/>
            </w:pPr>
            <w:r>
              <w:t xml:space="preserve">Moderate-boundary treatment</w:t>
            </w:r>
          </w:p>
        </w:tc>
      </w:tr>
      <w:tr>
        <w:tc>
          <w:tcPr/>
          <w:p>
            <w:pPr>
              <w:pStyle w:val="Compact"/>
            </w:pPr>
            <w:r>
              <w:t xml:space="preserve">Azure</w:t>
            </w:r>
          </w:p>
        </w:tc>
        <w:tc>
          <w:tcPr/>
          <w:p>
            <w:pPr>
              <w:pStyle w:val="Compact"/>
            </w:pPr>
            <w:r>
              <w:t xml:space="preserve">Microsoft Defender for Cloud</w:t>
            </w:r>
          </w:p>
        </w:tc>
        <w:tc>
          <w:tcPr/>
          <w:p>
            <w:pPr>
              <w:pStyle w:val="Compact"/>
            </w:pPr>
            <w:r>
              <w:t xml:space="preserve">Yes</w:t>
            </w:r>
          </w:p>
        </w:tc>
        <w:tc>
          <w:tcPr/>
          <w:p>
            <w:pPr>
              <w:pStyle w:val="Compact"/>
            </w:pPr>
            <w:r>
              <w:t xml:space="preserve">FedRAMP Moderate (GCC)</w:t>
            </w:r>
          </w:p>
        </w:tc>
        <w:tc>
          <w:tcPr/>
          <w:p>
            <w:pPr>
              <w:pStyle w:val="Compact"/>
            </w:pPr>
            <w:r>
              <w:t xml:space="preserve">Native Moderate — coordinating default</w:t>
            </w:r>
          </w:p>
        </w:tc>
      </w:tr>
      <w:tr>
        <w:tc>
          <w:tcPr/>
          <w:p>
            <w:pPr>
              <w:pStyle w:val="Compact"/>
            </w:pPr>
            <w:r>
              <w:t xml:space="preserve">AWS</w:t>
            </w:r>
          </w:p>
        </w:tc>
        <w:tc>
          <w:tcPr/>
          <w:p>
            <w:pPr>
              <w:pStyle w:val="Compact"/>
            </w:pPr>
            <w:r>
              <w:t xml:space="preserve">AWS Config (conformance packs) + AWS Security Hub</w:t>
            </w:r>
          </w:p>
        </w:tc>
        <w:tc>
          <w:tcPr/>
          <w:p>
            <w:pPr>
              <w:pStyle w:val="Compact"/>
            </w:pPr>
            <w:r>
              <w:t xml:space="preserve">Yes</w:t>
            </w:r>
          </w:p>
        </w:tc>
        <w:tc>
          <w:tcPr/>
          <w:p>
            <w:pPr>
              <w:pStyle w:val="Compact"/>
            </w:pPr>
            <w:r>
              <w:t xml:space="preserve">FedRAMP-authorized, above Moderate (AWS GovCloud Class D)</w:t>
            </w:r>
          </w:p>
        </w:tc>
        <w:tc>
          <w:tcPr/>
          <w:p>
            <w:pPr>
              <w:pStyle w:val="Compact"/>
            </w:pPr>
            <w:r>
              <w:t xml:space="preserve">Exceeds Moderate, boundary treatment documented; owned, so primary for AWS rather than relying on Defender’s AWS ingestion</w:t>
            </w:r>
          </w:p>
        </w:tc>
      </w:tr>
      <w:tr>
        <w:tc>
          <w:tcPr/>
          <w:p>
            <w:pPr>
              <w:pStyle w:val="Compact"/>
            </w:pPr>
            <w:r>
              <w:t xml:space="preserve">GCP</w:t>
            </w:r>
          </w:p>
        </w:tc>
        <w:tc>
          <w:tcPr/>
          <w:p>
            <w:pPr>
              <w:pStyle w:val="Compact"/>
            </w:pPr>
            <w:r>
              <w:t xml:space="preserve">Google Assured Workloads (boundary/guardrail) + Security Command Center (posture)</w:t>
            </w:r>
          </w:p>
        </w:tc>
        <w:tc>
          <w:tcPr/>
          <w:p>
            <w:pPr>
              <w:pStyle w:val="Compact"/>
            </w:pPr>
            <w:r>
              <w:t xml:space="preserve">No</w:t>
            </w:r>
          </w:p>
        </w:tc>
        <w:tc>
          <w:tcPr/>
          <w:p>
            <w:pPr>
              <w:pStyle w:val="Compact"/>
            </w:pPr>
            <w:r>
              <w:t xml:space="preserve">Assured Workloads: native FedRAMP Moderate control package; Security Command Center: FedRAMP-authorized, above Moderate (Google Cloud’s High P-ATO)</w:t>
            </w:r>
          </w:p>
        </w:tc>
        <w:tc>
          <w:tcPr/>
          <w:p>
            <w:pPr>
              <w:pStyle w:val="Compact"/>
            </w:pPr>
            <w:r>
              <w:t xml:space="preserve">Assured Workloads needs no flag — it</w:t>
            </w:r>
            <w:r>
              <w:t xml:space="preserve"> </w:t>
            </w:r>
            <w:r>
              <w:rPr>
                <w:i/>
                <w:iCs/>
              </w:rPr>
              <w:t xml:space="preserve">is</w:t>
            </w:r>
            <w:r>
              <w:t xml:space="preserve"> </w:t>
            </w:r>
            <w:r>
              <w:t xml:space="preserve">the Moderate control package; Security Command Center exceeds Moderate and needs the boundary treatment documented if adopted. Neither is procured today — Defender for Cloud’s native GCP ingestion is the only mechanism actually in place</w:t>
            </w:r>
          </w:p>
        </w:tc>
      </w:tr>
      <w:tr>
        <w:tc>
          <w:tcPr/>
          <w:p>
            <w:pPr>
              <w:pStyle w:val="Compact"/>
            </w:pPr>
            <w:r>
              <w:t xml:space="preserve">OCI</w:t>
            </w:r>
          </w:p>
        </w:tc>
        <w:tc>
          <w:tcPr/>
          <w:p>
            <w:pPr>
              <w:pStyle w:val="Compact"/>
            </w:pPr>
            <w:r>
              <w:t xml:space="preserve">OCI Cloud Guard (unified misconfiguration and threat detection across the OCI tenancy)</w:t>
            </w:r>
          </w:p>
        </w:tc>
        <w:tc>
          <w:tcPr/>
          <w:p>
            <w:pPr>
              <w:pStyle w:val="Compact"/>
            </w:pPr>
            <w:r>
              <w:t xml:space="preserve">No</w:t>
            </w:r>
          </w:p>
        </w:tc>
        <w:tc>
          <w:tcPr/>
          <w:p>
            <w:pPr>
              <w:pStyle w:val="Compact"/>
            </w:pPr>
            <w:r>
              <w:t xml:space="preserve">FedRAMP-authorized, above Moderate (DISA IL5 / JAB)</w:t>
            </w:r>
          </w:p>
        </w:tc>
        <w:tc>
          <w:tcPr/>
          <w:p>
            <w:pPr>
              <w:pStyle w:val="Compact"/>
            </w:pPr>
            <w:r>
              <w:t xml:space="preserve">Exceeds Moderate, boundary treatment documented; residual-gap closer only — Defender’s native coverage does not extend to OCI/OKE</w:t>
            </w:r>
          </w:p>
        </w:tc>
      </w:tr>
      <w:tr>
        <w:tc>
          <w:tcPr/>
          <w:p>
            <w:pPr>
              <w:pStyle w:val="Compact"/>
            </w:pPr>
            <w:r>
              <w:t xml:space="preserve">VMware</w:t>
            </w:r>
          </w:p>
        </w:tc>
        <w:tc>
          <w:tcPr/>
          <w:p>
            <w:pPr>
              <w:pStyle w:val="Compact"/>
            </w:pPr>
            <w:r>
              <w:t xml:space="preserve">VMware Aria Operations for Compliance</w:t>
            </w:r>
          </w:p>
        </w:tc>
        <w:tc>
          <w:tcPr/>
          <w:p>
            <w:pPr>
              <w:pStyle w:val="Compact"/>
            </w:pPr>
            <w:r>
              <w:t xml:space="preserve">Yes</w:t>
            </w:r>
          </w:p>
        </w:tc>
        <w:tc>
          <w:tcPr/>
          <w:p>
            <w:pPr>
              <w:pStyle w:val="Compact"/>
            </w:pPr>
            <w:r>
              <w:t xml:space="preserve">Not a CSP offering — no independent FedRAMP authorization</w:t>
            </w:r>
          </w:p>
        </w:tc>
        <w:tc>
          <w:tcPr/>
          <w:p>
            <w:pPr>
              <w:pStyle w:val="Compact"/>
            </w:pPr>
            <w:r>
              <w:t xml:space="preserve">Inherits the deploying system’s own ATO boundary, same as other customer-operated software in the estate</w:t>
            </w:r>
          </w:p>
        </w:tc>
      </w:tr>
    </w:tbl>
    <w:p>
      <w:pPr>
        <w:pStyle w:val="BodyText"/>
      </w:pPr>
      <w:r>
        <w:t xml:space="preserve">GCP and OCI now carry the same named-mechanism depth as the owned platforms</w:t>
      </w:r>
      <w:r>
        <w:t xml:space="preserve"> </w:t>
      </w:r>
      <w:r>
        <w:t xml:space="preserve">above even though neither is procured: Assured Workloads and Cloud Guard are</w:t>
      </w:r>
      <w:r>
        <w:t xml:space="preserve"> </w:t>
      </w:r>
      <w:r>
        <w:t xml:space="preserve">each the specific</w:t>
      </w:r>
      <w:r>
        <w:t xml:space="preserve"> </w:t>
      </w:r>
      <w:r>
        <w:rPr>
          <w:i/>
          <w:iCs/>
        </w:rPr>
        <w:t xml:space="preserve">adoption default</w:t>
      </w:r>
      <w:r>
        <w:t xml:space="preserve"> </w:t>
      </w:r>
      <w:r>
        <w:t xml:space="preserve">for their platform — the tool this book</w:t>
      </w:r>
      <w:r>
        <w:t xml:space="preserve"> </w:t>
      </w:r>
      <w:r>
        <w:t xml:space="preserve">recommends the day the agency actually stands up GCP or OCI — not a claim that</w:t>
      </w:r>
      <w:r>
        <w:t xml:space="preserve"> </w:t>
      </w:r>
      <w:r>
        <w:t xml:space="preserve">either is in place today. Until then, Defender for Cloud’s native GCP ingestion</w:t>
      </w:r>
      <w:r>
        <w:t xml:space="preserve"> </w:t>
      </w:r>
      <w:r>
        <w:t xml:space="preserve">covers GCP and Cloud Guard’s residual-gap role for OCI/OKE is aspirational</w:t>
      </w:r>
      <w:r>
        <w:t xml:space="preserve"> </w:t>
      </w:r>
      <w:r>
        <w:t xml:space="preserve">rather than active, exactly as the</w:t>
      </w:r>
      <w:r>
        <w:t xml:space="preserve"> </w:t>
      </w:r>
      <w:r>
        <w:t xml:space="preserve">“Owned today”</w:t>
      </w:r>
      <w:r>
        <w:t xml:space="preserve"> </w:t>
      </w:r>
      <w:r>
        <w:t xml:space="preserve">column states.</w:t>
      </w:r>
    </w:p>
    <w:p>
      <w:pPr>
        <w:pStyle w:val="BodyText"/>
      </w:pPr>
      <w:r>
        <w:t xml:space="preserve">The agency also prefers</w:t>
      </w:r>
      <w:r>
        <w:t xml:space="preserve"> </w:t>
      </w:r>
      <w:r>
        <w:rPr>
          <w:b/>
          <w:bCs/>
        </w:rPr>
        <w:t xml:space="preserve">Palo Alto (Prisma Cloud)</w:t>
      </w:r>
      <w:r>
        <w:t xml:space="preserve"> </w:t>
      </w:r>
      <w:r>
        <w:t xml:space="preserve">as a whole-platform CNAPP</w:t>
      </w:r>
      <w:r>
        <w:t xml:space="preserve"> </w:t>
      </w:r>
      <w:r>
        <w:t xml:space="preserve">alternative to Defender, and Prisma Cloud is among the most feature-complete</w:t>
      </w:r>
      <w:r>
        <w:t xml:space="preserve"> </w:t>
      </w:r>
      <w:r>
        <w:t xml:space="preserve">CNAPPs — but it is</w:t>
      </w:r>
      <w:r>
        <w:t xml:space="preserve"> </w:t>
      </w:r>
      <w:r>
        <w:rPr>
          <w:b/>
          <w:bCs/>
        </w:rPr>
        <w:t xml:space="preserve">FedRAMP High-only</w:t>
      </w:r>
      <w:r>
        <w:t xml:space="preserve">, as is</w:t>
      </w:r>
      <w:r>
        <w:t xml:space="preserve"> </w:t>
      </w:r>
      <w:r>
        <w:rPr>
          <w:b/>
          <w:bCs/>
        </w:rPr>
        <w:t xml:space="preserve">Wiz for Government</w:t>
      </w:r>
      <w:r>
        <w:t xml:space="preserve">. Under</w:t>
      </w:r>
      <w:r>
        <w:t xml:space="preserve"> </w:t>
      </w:r>
      <w:r>
        <w:t xml:space="preserve">the Moderate-exclusive rule this is the identical flag as the AWS/GCP/OCI rows</w:t>
      </w:r>
      <w:r>
        <w:t xml:space="preserve"> </w:t>
      </w:r>
      <w:r>
        <w:t xml:space="preserve">above: High exceeds Moderate, so either product may be used if the boundary</w:t>
      </w:r>
      <w:r>
        <w:t xml:space="preserve"> </w:t>
      </w:r>
      <w:r>
        <w:t xml:space="preserve">treatment is documented, or Defender for Cloud is selected to stay natively at</w:t>
      </w:r>
      <w:r>
        <w:t xml:space="preserve"> </w:t>
      </w:r>
      <w:r>
        <w:t xml:space="preserve">Moderate. This is an explicit procurement/boundary decision, recorded in the</w:t>
      </w:r>
      <w:r>
        <w:t xml:space="preserve"> </w:t>
      </w:r>
      <w:r>
        <w:t xml:space="preserve">Product Inventory Questionnaire’s flag list.</w:t>
      </w:r>
    </w:p>
    <w:bookmarkEnd w:id="118"/>
    <w:bookmarkEnd w:id="119"/>
    <w:bookmarkStart w:id="120" w:name="X952d34da7a054652f8ff0e8b45a118b1e8917dd"/>
    <w:p>
      <w:pPr>
        <w:pStyle w:val="Heading1"/>
      </w:pPr>
      <w:r>
        <w:t xml:space="preserve">CNAPP — One Platform, Four Overlapping Views</w:t>
      </w:r>
    </w:p>
    <w:p>
      <w:pPr>
        <w:pStyle w:val="FirstParagraph"/>
      </w:pPr>
      <w:r>
        <w:t xml:space="preserve">A cloud-native application protection platform unifies what were separate tools: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CNAPP view</w:t>
            </w:r>
          </w:p>
        </w:tc>
        <w:tc>
          <w:tcPr/>
          <w:p>
            <w:pPr>
              <w:pStyle w:val="Compact"/>
            </w:pPr>
            <w:r>
              <w:t xml:space="preserve">Question it answers</w:t>
            </w:r>
          </w:p>
        </w:tc>
        <w:tc>
          <w:tcPr/>
          <w:p>
            <w:pPr>
              <w:pStyle w:val="Compact"/>
            </w:pPr>
            <w:r>
              <w:t xml:space="preserve">NIST control</w:t>
            </w:r>
          </w:p>
        </w:tc>
        <w:tc>
          <w:tcPr/>
          <w:p>
            <w:pPr>
              <w:pStyle w:val="Compact"/>
            </w:pPr>
            <w:r>
              <w:t xml:space="preserve">This series</w:t>
            </w:r>
          </w:p>
        </w:tc>
      </w:tr>
      <w:tr>
        <w:tc>
          <w:tcPr/>
          <w:p>
            <w:pPr>
              <w:pStyle w:val="Compact"/>
            </w:pPr>
            <w:r>
              <w:rPr>
                <w:b/>
                <w:bCs/>
              </w:rPr>
              <w:t xml:space="preserve">CSPM</w:t>
            </w:r>
          </w:p>
        </w:tc>
        <w:tc>
          <w:tcPr/>
          <w:p>
            <w:pPr>
              <w:pStyle w:val="Compact"/>
            </w:pPr>
            <w:r>
              <w:t xml:space="preserve">Is the cloud resource misconfigured?</w:t>
            </w:r>
          </w:p>
        </w:tc>
        <w:tc>
          <w:tcPr/>
          <w:p>
            <w:pPr>
              <w:pStyle w:val="Compact"/>
            </w:pPr>
            <w:r>
              <w:t xml:space="preserve">CM-6</w:t>
            </w:r>
          </w:p>
        </w:tc>
        <w:tc>
          <w:tcPr/>
          <w:p>
            <w:pPr>
              <w:pStyle w:val="Compact"/>
            </w:pPr>
            <w:r>
              <w:t xml:space="preserve">this book</w:t>
            </w:r>
          </w:p>
        </w:tc>
      </w:tr>
      <w:tr>
        <w:tc>
          <w:tcPr/>
          <w:p>
            <w:pPr>
              <w:pStyle w:val="Compact"/>
            </w:pPr>
            <w:r>
              <w:rPr>
                <w:b/>
                <w:bCs/>
              </w:rPr>
              <w:t xml:space="preserve">CWPP</w:t>
            </w:r>
          </w:p>
        </w:tc>
        <w:tc>
          <w:tcPr/>
          <w:p>
            <w:pPr>
              <w:pStyle w:val="Compact"/>
            </w:pPr>
            <w:r>
              <w:t xml:space="preserve">Is the workload/image vulnerable?</w:t>
            </w:r>
          </w:p>
        </w:tc>
        <w:tc>
          <w:tcPr/>
          <w:p>
            <w:pPr>
              <w:pStyle w:val="Compact"/>
            </w:pPr>
            <w:r>
              <w:t xml:space="preserve">RA-5</w:t>
            </w:r>
          </w:p>
        </w:tc>
        <w:tc>
          <w:tcPr/>
          <w:p>
            <w:pPr>
              <w:pStyle w:val="Compact"/>
            </w:pPr>
            <w:r>
              <w:t xml:space="preserve">this book (assessment handoff to Patch for SI-2)</w:t>
            </w:r>
          </w:p>
        </w:tc>
      </w:tr>
      <w:tr>
        <w:tc>
          <w:tcPr/>
          <w:p>
            <w:pPr>
              <w:pStyle w:val="Compact"/>
            </w:pPr>
            <w:r>
              <w:rPr>
                <w:b/>
                <w:bCs/>
              </w:rPr>
              <w:t xml:space="preserve">Network exposure / attack path</w:t>
            </w:r>
          </w:p>
        </w:tc>
        <w:tc>
          <w:tcPr/>
          <w:p>
            <w:pPr>
              <w:pStyle w:val="Compact"/>
            </w:pPr>
            <w:r>
              <w:t xml:space="preserve">Can this workload be reached, and what can it reach?</w:t>
            </w:r>
          </w:p>
        </w:tc>
        <w:tc>
          <w:tcPr/>
          <w:p>
            <w:pPr>
              <w:pStyle w:val="Compact"/>
            </w:pPr>
            <w:r>
              <w:t xml:space="preserve">SC-7</w:t>
            </w:r>
          </w:p>
        </w:tc>
        <w:tc>
          <w:tcPr/>
          <w:p>
            <w:pPr>
              <w:pStyle w:val="Compact"/>
            </w:pPr>
            <w:r>
              <w:t xml:space="preserve">this book (cloud-plane SC-7; edge SC-7 is the Network Enforcement book)</w:t>
            </w:r>
          </w:p>
        </w:tc>
      </w:tr>
      <w:tr>
        <w:tc>
          <w:tcPr/>
          <w:p>
            <w:pPr>
              <w:pStyle w:val="Compact"/>
            </w:pPr>
            <w:r>
              <w:rPr>
                <w:b/>
                <w:bCs/>
              </w:rPr>
              <w:t xml:space="preserve">CIEM</w:t>
            </w:r>
          </w:p>
        </w:tc>
        <w:tc>
          <w:tcPr/>
          <w:p>
            <w:pPr>
              <w:pStyle w:val="Compact"/>
            </w:pPr>
            <w:r>
              <w:t xml:space="preserve">Does this identity have far more access than it uses?</w:t>
            </w:r>
          </w:p>
        </w:tc>
        <w:tc>
          <w:tcPr/>
          <w:p>
            <w:pPr>
              <w:pStyle w:val="Compact"/>
            </w:pPr>
            <w:r>
              <w:t xml:space="preserve">AC-6</w:t>
            </w:r>
          </w:p>
        </w:tc>
        <w:tc>
          <w:tcPr/>
          <w:p>
            <w:pPr>
              <w:pStyle w:val="Compact"/>
            </w:pPr>
            <w:r>
              <w:t xml:space="preserve">cross-ref Privileged Access Management book (cloud-entitlement layer)</w:t>
            </w:r>
          </w:p>
        </w:tc>
      </w:tr>
      <w:tr>
        <w:tc>
          <w:tcPr/>
          <w:p>
            <w:pPr>
              <w:pStyle w:val="Compact"/>
            </w:pPr>
            <w:r>
              <w:rPr>
                <w:b/>
                <w:bCs/>
              </w:rPr>
              <w:t xml:space="preserve">Code / IaC (shift-left)</w:t>
            </w:r>
          </w:p>
        </w:tc>
        <w:tc>
          <w:tcPr/>
          <w:p>
            <w:pPr>
              <w:pStyle w:val="Compact"/>
            </w:pPr>
            <w:r>
              <w:t xml:space="preserve">Is the misconfiguration or vuln present</w:t>
            </w:r>
            <w:r>
              <w:t xml:space="preserve"> </w:t>
            </w:r>
            <w:r>
              <w:rPr>
                <w:i/>
                <w:iCs/>
              </w:rPr>
              <w:t xml:space="preserve">before</w:t>
            </w:r>
            <w:r>
              <w:t xml:space="preserve"> </w:t>
            </w:r>
            <w:r>
              <w:t xml:space="preserve">deploy?</w:t>
            </w:r>
          </w:p>
        </w:tc>
        <w:tc>
          <w:tcPr/>
          <w:p>
            <w:pPr>
              <w:pStyle w:val="Compact"/>
            </w:pPr>
            <w:r>
              <w:t xml:space="preserve">SA-11</w:t>
            </w:r>
          </w:p>
        </w:tc>
        <w:tc>
          <w:tcPr/>
          <w:p>
            <w:pPr>
              <w:pStyle w:val="Compact"/>
            </w:pPr>
            <w:r>
              <w:t xml:space="preserve">this book (SSDF, NIST SP 800-218)</w:t>
            </w:r>
          </w:p>
        </w:tc>
      </w:tr>
    </w:tbl>
    <w:p>
      <w:pPr>
        <w:pStyle w:val="BodyText"/>
      </w:pPr>
      <w:r>
        <w:t xml:space="preserve">The</w:t>
      </w:r>
      <w:r>
        <w:t xml:space="preserve"> </w:t>
      </w:r>
      <w:r>
        <w:rPr>
          <w:b/>
          <w:bCs/>
        </w:rPr>
        <w:t xml:space="preserve">attack-path</w:t>
      </w:r>
      <w:r>
        <w:t xml:space="preserve"> </w:t>
      </w:r>
      <w:r>
        <w:t xml:space="preserve">view (SC-7) is the distinctive CNAPP capability: it composes</w:t>
      </w:r>
      <w:r>
        <w:t xml:space="preserve"> </w:t>
      </w:r>
      <w:r>
        <w:t xml:space="preserve">misconfiguration + exposure + vulnerability + entitlement into</w:t>
      </w:r>
      <w:r>
        <w:t xml:space="preserve"> </w:t>
      </w:r>
      <w:r>
        <w:t xml:space="preserve">“this</w:t>
      </w:r>
      <w:r>
        <w:t xml:space="preserve"> </w:t>
      </w:r>
      <w:r>
        <w:t xml:space="preserve">internet-reachable workload has a critical vuln and an over-permissioned role to</w:t>
      </w:r>
      <w:r>
        <w:t xml:space="preserve"> </w:t>
      </w:r>
      <w:r>
        <w:t xml:space="preserve">the data store”</w:t>
      </w:r>
      <w:r>
        <w:t xml:space="preserve"> </w:t>
      </w:r>
      <w:r>
        <w:t xml:space="preserve">— a single prioritized finding no host scanner produces. It is a</w:t>
      </w:r>
      <w:r>
        <w:t xml:space="preserve"> </w:t>
      </w:r>
      <w:r>
        <w:t xml:space="preserve">cloud-plane SC-7 closure, distinct from the customer-edge SC-7 the Network</w:t>
      </w:r>
      <w:r>
        <w:t xml:space="preserve"> </w:t>
      </w:r>
      <w:r>
        <w:t xml:space="preserve">Enforcement Substrate book closes on gear.</w:t>
      </w:r>
    </w:p>
    <w:bookmarkEnd w:id="120"/>
    <w:bookmarkStart w:id="121" w:name="kubernetes-container-security-cm-7-si-3"/>
    <w:p>
      <w:pPr>
        <w:pStyle w:val="Heading1"/>
      </w:pPr>
      <w:r>
        <w:t xml:space="preserve">Kubernetes &amp; Container Security (CM-7, SI-3)</w:t>
      </w:r>
    </w:p>
    <w:p>
      <w:pPr>
        <w:pStyle w:val="FirstParagraph"/>
      </w:pPr>
      <w:r>
        <w:t xml:space="preserve">Containers add a layer host tools do not reach:</w:t>
      </w:r>
    </w:p>
    <w:p>
      <w:pPr>
        <w:pStyle w:val="Compact"/>
        <w:numPr>
          <w:ilvl w:val="0"/>
          <w:numId w:val="1014"/>
        </w:numPr>
      </w:pPr>
      <w:r>
        <w:rPr>
          <w:b/>
          <w:bCs/>
        </w:rPr>
        <w:t xml:space="preserve">Image scanning</w:t>
      </w:r>
      <w:r>
        <w:t xml:space="preserve"> </w:t>
      </w:r>
      <w:r>
        <w:t xml:space="preserve">— vulnerabilities and secrets caught in the registry at</w:t>
      </w:r>
      <w:r>
        <w:t xml:space="preserve"> </w:t>
      </w:r>
      <w:r>
        <w:t xml:space="preserve">build time (CWPP/RA-5), so remediation is a rebuild, not a host patch (this is</w:t>
      </w:r>
      <w:r>
        <w:t xml:space="preserve"> </w:t>
      </w:r>
      <w:r>
        <w:t xml:space="preserve">the container path the Patch &amp; Systems Management book explicitly defers here).</w:t>
      </w:r>
    </w:p>
    <w:p>
      <w:pPr>
        <w:pStyle w:val="Compact"/>
        <w:numPr>
          <w:ilvl w:val="0"/>
          <w:numId w:val="1014"/>
        </w:numPr>
      </w:pPr>
      <w:r>
        <w:rPr>
          <w:b/>
          <w:bCs/>
        </w:rPr>
        <w:t xml:space="preserve">Admission control (CM-7)</w:t>
      </w:r>
      <w:r>
        <w:t xml:space="preserve"> </w:t>
      </w:r>
      <w:r>
        <w:t xml:space="preserve">— Kubernetes admission policy</w:t>
      </w:r>
      <w:r>
        <w:t xml:space="preserve"> </w:t>
      </w:r>
      <w:r>
        <w:rPr>
          <w:i/>
          <w:iCs/>
        </w:rPr>
        <w:t xml:space="preserve">denies</w:t>
      </w:r>
      <w:r>
        <w:t xml:space="preserve"> </w:t>
      </w:r>
      <w:r>
        <w:t xml:space="preserve">non-</w:t>
      </w:r>
      <w:r>
        <w:t xml:space="preserve"> </w:t>
      </w:r>
      <w:r>
        <w:t xml:space="preserve">compliant workloads at deploy: no privileged pods, no unscanned images, no</w:t>
      </w:r>
      <w:r>
        <w:t xml:space="preserve"> </w:t>
      </w:r>
      <w:r>
        <w:t xml:space="preserve">latest tags. Least functionality enforced at the gate.</w:t>
      </w:r>
    </w:p>
    <w:p>
      <w:pPr>
        <w:pStyle w:val="Compact"/>
        <w:numPr>
          <w:ilvl w:val="0"/>
          <w:numId w:val="1014"/>
        </w:numPr>
      </w:pPr>
      <w:r>
        <w:rPr>
          <w:b/>
          <w:bCs/>
        </w:rPr>
        <w:t xml:space="preserve">Runtime threat detection (SI-3)</w:t>
      </w:r>
      <w:r>
        <w:t xml:space="preserve"> </w:t>
      </w:r>
      <w:r>
        <w:t xml:space="preserve">— behavioral detection in running</w:t>
      </w:r>
      <w:r>
        <w:t xml:space="preserve"> </w:t>
      </w:r>
      <w:r>
        <w:t xml:space="preserve">containers (unexpected process, drift from image, lateral movement).</w:t>
      </w:r>
    </w:p>
    <w:bookmarkEnd w:id="121"/>
    <w:bookmarkStart w:id="122" w:name="feeding-the-evidence-fabric"/>
    <w:p>
      <w:pPr>
        <w:pStyle w:val="Heading1"/>
      </w:pPr>
      <w:r>
        <w:t xml:space="preserve">Feeding the Evidence Fabric</w:t>
      </w:r>
    </w:p>
    <w:p>
      <w:pPr>
        <w:pStyle w:val="FirstParagraph"/>
      </w:pPr>
      <w:r>
        <w:t xml:space="preserve">Every finding here — a CSPM misconfiguration verdict, a CWPP vulnerability, an</w:t>
      </w:r>
      <w:r>
        <w:t xml:space="preserve"> </w:t>
      </w:r>
      <w:r>
        <w:t xml:space="preserve">attack-path alert, an admission denial — emits the</w:t>
      </w:r>
      <w:r>
        <w:t xml:space="preserve"> </w:t>
      </w:r>
      <w:r>
        <w:rPr>
          <w:b/>
          <w:bCs/>
        </w:rPr>
        <w:t xml:space="preserve">unified evidence-record</w:t>
      </w:r>
      <w:r>
        <w:rPr>
          <w:b/>
          <w:bCs/>
        </w:rPr>
        <w:t xml:space="preserve"> </w:t>
      </w:r>
      <w:r>
        <w:rPr>
          <w:b/>
          <w:bCs/>
        </w:rPr>
        <w:t xml:space="preserve">contract</w:t>
      </w:r>
      <w:r>
        <w:t xml:space="preserve"> </w:t>
      </w:r>
      <w:r>
        <w:t xml:space="preserve">into the fabric, keyed to authoritative asset identity, and rolls up</w:t>
      </w:r>
      <w:r>
        <w:t xml:space="preserve"> </w:t>
      </w:r>
      <w:r>
        <w:t xml:space="preserve">to CISA CDM and the FedRAMP 20x KSI pipeline (see the Multi-Cloud Evidence</w:t>
      </w:r>
      <w:r>
        <w:t xml:space="preserve"> </w:t>
      </w:r>
      <w:r>
        <w:t xml:space="preserve">Fabric book). Posture is not a standalone dashboard; it is one more source in</w:t>
      </w:r>
      <w:r>
        <w:t xml:space="preserve"> </w:t>
      </w:r>
      <w:r>
        <w:t xml:space="preserve">the one compliance picture.</w:t>
      </w:r>
    </w:p>
    <w:bookmarkEnd w:id="122"/>
    <w:bookmarkStart w:id="123" w:name="X653de929f765b2bbe01d135de7053fa54afc618"/>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the</w:t>
      </w:r>
      <w:r>
        <w:t xml:space="preserve"> </w:t>
      </w:r>
      <w:r>
        <w:rPr>
          <w:i/>
          <w:iCs/>
        </w:rPr>
        <w:t xml:space="preserve">layer</w:t>
      </w:r>
      <w:r>
        <w:t xml:space="preserve"> </w:t>
      </w:r>
      <w:r>
        <w:t xml:space="preserve">distinctions:</w:t>
      </w:r>
      <w:r>
        <w:t xml:space="preserve"> </w:t>
      </w:r>
      <w:r>
        <w:t xml:space="preserve">CM-6 here is cloud-resource misconfiguration (the Patch book closes OS-baseline</w:t>
      </w:r>
      <w:r>
        <w:t xml:space="preserve"> </w:t>
      </w:r>
      <w:r>
        <w:t xml:space="preserve">CM-6); SC-7 here is cloud attack-path exposure (the Network Enforcement book</w:t>
      </w:r>
      <w:r>
        <w:t xml:space="preserve"> </w:t>
      </w:r>
      <w:r>
        <w:t xml:space="preserve">closes edge SC-7); RA-5 here is cloud/container scanning (the Vulnerability</w:t>
      </w:r>
      <w:r>
        <w:t xml:space="preserve"> </w:t>
      </w:r>
      <w:r>
        <w:t xml:space="preserve">Management book owns host RA-5).</w:t>
      </w:r>
    </w:p>
    <w:p>
      <w:pPr>
        <w:pStyle w:val="TableCaption"/>
      </w:pPr>
      <w:r>
        <w:t xml:space="preserve">Authorities Closed Here — Cloud-Native Security Posture &amp; Containers (CSPM/CNAPP, K8s) († = Closure-Necessity anchor: no alternate closure path)</w:t>
      </w:r>
    </w:p>
    <w:tbl>
      <w:tblPr>
        <w:tblStyle w:val="Table"/>
        <w:tblW w:type="pct" w:w="5000"/>
        <w:tblLayout w:type="fixed"/>
        <w:tblLook w:firstRow="1" w:lastRow="0" w:firstColumn="0" w:lastColumn="0" w:noHBand="0" w:noVBand="0" w:val="0020"/>
        <w:tblCaption w:val="Authorities Closed Here — Cloud-Native Security Posture &amp; Containers (CSPM/CNAPP, K8s)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CM-7</w:t>
            </w:r>
          </w:p>
        </w:tc>
        <w:tc>
          <w:tcPr/>
          <w:p>
            <w:pPr>
              <w:pStyle w:val="Compact"/>
            </w:pPr>
            <w:r>
              <w:t xml:space="preserve">Least Functionality</w:t>
            </w:r>
          </w:p>
        </w:tc>
        <w:tc>
          <w:tcPr/>
          <w:p>
            <w:pPr>
              <w:pStyle w:val="Compact"/>
            </w:pPr>
            <w:r>
              <w:t xml:space="preserve">Container hardening + Kubernetes admission control (deny non-compliant workloads)</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Cloud network-exposure and attack-path analysis (CNAPP) — internet-reachable workloads flagged</w:t>
            </w:r>
          </w:p>
        </w:tc>
        <w:tc>
          <w:tcPr/>
          <w:p>
            <w:pPr>
              <w:pStyle w:val="Compact"/>
            </w:pPr>
            <w:r>
              <w:t xml:space="preserve">FedRAMP Moderate</w:t>
            </w:r>
          </w:p>
        </w:tc>
        <w:tc>
          <w:tcPr/>
          <w:p>
            <w:pPr>
              <w:pStyle w:val="Compact"/>
            </w:pPr>
            <w:r>
              <w:t xml:space="preserve">NIST SP 800-53 Rev 5;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Cloud resource misconfiguration detection across CSPs (CSPM) — Defender for Cloud (Azure/AWS/GCP, Moderate default); AWS Config + Security Hub (AWS, owned, primary for AWS — High-covers-Moderate in AWS GovCloud); Google Assured Workloads + Security Command Center (GCP, adoption default if procured — Assured Workloads native Moderate, SCC High-covers-Moderate); VMware Aria Operations for Compliance (VMware, owned, boundary-inherited — not independently FedRAMP-authorized); OCI Cloud Guard (OCI, adoption default if procured, residual gap closer, High-covers-Moderate); Prisma Cloud/Wiz (High, alternative)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 KSI-SVC</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Agentless cloud-workload + container-image vulnerability scanning (CNAPP/CWPP)</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SA-11</w:t>
            </w:r>
          </w:p>
        </w:tc>
        <w:tc>
          <w:tcPr/>
          <w:p>
            <w:pPr>
              <w:pStyle w:val="Compact"/>
            </w:pPr>
            <w:r>
              <w:t xml:space="preserve">Developer Testing and Evaluation</w:t>
            </w:r>
          </w:p>
        </w:tc>
        <w:tc>
          <w:tcPr/>
          <w:p>
            <w:pPr>
              <w:pStyle w:val="Compact"/>
            </w:pPr>
            <w:r>
              <w:t xml:space="preserve">Shift-left IaC and container-image scanning in CI (CNAPP code security)</w:t>
            </w:r>
          </w:p>
        </w:tc>
        <w:tc>
          <w:tcPr/>
          <w:p>
            <w:pPr>
              <w:pStyle w:val="Compact"/>
            </w:pPr>
            <w:r>
              <w:t xml:space="preserve">FedRAMP Moderate</w:t>
            </w:r>
          </w:p>
        </w:tc>
        <w:tc>
          <w:tcPr/>
          <w:p>
            <w:pPr>
              <w:pStyle w:val="Compact"/>
            </w:pPr>
            <w:r>
              <w:t xml:space="preserve">NIST SP 800-53 Rev 5; NIST SP 800-218</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SI-3</w:t>
            </w:r>
          </w:p>
        </w:tc>
        <w:tc>
          <w:tcPr/>
          <w:p>
            <w:pPr>
              <w:pStyle w:val="Compact"/>
            </w:pPr>
            <w:r>
              <w:t xml:space="preserve">Malicious Code Protection</w:t>
            </w:r>
          </w:p>
        </w:tc>
        <w:tc>
          <w:tcPr/>
          <w:p>
            <w:pPr>
              <w:pStyle w:val="Compact"/>
            </w:pPr>
            <w:r>
              <w:t xml:space="preserve">Container / workload runtime threat detection</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bl>
    <w:bookmarkEnd w:id="123"/>
    <w:bookmarkStart w:id="125" w:name="fedramp-20x-ksi-alignment-2"/>
    <w:p>
      <w:pPr>
        <w:pStyle w:val="Heading1"/>
      </w:pPr>
      <w:r>
        <w:t xml:space="preserve">FedRAMP 20x KSI Alignment</w:t>
      </w:r>
    </w:p>
    <w:p>
      <w:pPr>
        <w:pStyle w:val="FirstParagraph"/>
      </w:pPr>
      <w:r>
        <w:t xml:space="preserve">Cloud-native posture feeds</w:t>
      </w:r>
      <w:r>
        <w:t xml:space="preserve"> </w:t>
      </w:r>
      <w:r>
        <w:rPr>
          <w:b/>
          <w:bCs/>
        </w:rPr>
        <w:t xml:space="preserve">KSI-CMT</w:t>
      </w:r>
      <w:r>
        <w:t xml:space="preserve"> </w:t>
      </w:r>
      <w:r>
        <w:t xml:space="preserve">(Change Management — configuration-baseline</w:t>
      </w:r>
      <w:r>
        <w:t xml:space="preserve"> </w:t>
      </w:r>
      <w:r>
        <w:t xml:space="preserve">misconfiguration verdicts),</w:t>
      </w:r>
      <w:r>
        <w:t xml:space="preserve"> </w:t>
      </w:r>
      <w:r>
        <w:rPr>
          <w:b/>
          <w:bCs/>
        </w:rPr>
        <w:t xml:space="preserve">KSI-SVC</w:t>
      </w:r>
      <w:r>
        <w:t xml:space="preserve"> </w:t>
      </w:r>
      <w:r>
        <w:t xml:space="preserve">(Service Configuration — hardening, admission control,</w:t>
      </w:r>
      <w:r>
        <w:t xml:space="preserve"> </w:t>
      </w:r>
      <w:r>
        <w:t xml:space="preserve">IaC), and</w:t>
      </w:r>
      <w:r>
        <w:t xml:space="preserve"> </w:t>
      </w:r>
      <w:r>
        <w:rPr>
          <w:b/>
          <w:bCs/>
        </w:rPr>
        <w:t xml:space="preserve">KSI-MLA</w:t>
      </w:r>
      <w:r>
        <w:t xml:space="preserve"> </w:t>
      </w:r>
      <w:r>
        <w:t xml:space="preserve">(vulnerability + runtime findings). As with the rest of the</w:t>
      </w:r>
      <w:r>
        <w:t xml:space="preserve"> </w:t>
      </w:r>
      <w:r>
        <w:t xml:space="preserve">series’ evidence, none is attestable by a single-tenant conformance scan alone —</w:t>
      </w:r>
      <w:r>
        <w:t xml:space="preserve"> </w:t>
      </w:r>
      <w:r>
        <w:t xml:space="preserve">the evidence is the CNAPP’s cross-account, cross-cloud finding set delivered</w:t>
      </w:r>
      <w:r>
        <w:t xml:space="preserve"> </w:t>
      </w:r>
      <w:r>
        <w:t xml:space="preserve">through the evidence fabric.</w:t>
      </w:r>
    </w:p>
    <w:bookmarkStart w:id="124" w:name="platform-selection-status"/>
    <w:p>
      <w:pPr>
        <w:pStyle w:val="Heading2"/>
      </w:pPr>
      <w:r>
        <w:t xml:space="preserve">Platform Selection Status</w:t>
      </w:r>
    </w:p>
    <w:p>
      <w:pPr>
        <w:pStyle w:val="FirstParagraph"/>
      </w:pPr>
      <w:r>
        <w:t xml:space="preserve">Per-platform CSPM selection prioritizes what the agency already owns:</w:t>
      </w:r>
      <w:r>
        <w:t xml:space="preserve"> </w:t>
      </w:r>
      <w:r>
        <w:rPr>
          <w:b/>
          <w:bCs/>
        </w:rPr>
        <w:t xml:space="preserve">AWS Config + Security Hub</w:t>
      </w:r>
      <w:r>
        <w:t xml:space="preserve"> </w:t>
      </w:r>
      <w:r>
        <w:t xml:space="preserve">(AWS) and</w:t>
      </w:r>
      <w:r>
        <w:t xml:space="preserve"> </w:t>
      </w:r>
      <w:r>
        <w:rPr>
          <w:b/>
          <w:bCs/>
        </w:rPr>
        <w:t xml:space="preserve">VMware Aria Operations for</w:t>
      </w:r>
      <w:r>
        <w:rPr>
          <w:b/>
          <w:bCs/>
        </w:rPr>
        <w:t xml:space="preserve"> </w:t>
      </w:r>
      <w:r>
        <w:rPr>
          <w:b/>
          <w:bCs/>
        </w:rPr>
        <w:t xml:space="preserve">Compliance</w:t>
      </w:r>
      <w:r>
        <w:t xml:space="preserve"> </w:t>
      </w:r>
      <w:r>
        <w:t xml:space="preserve">(VMware) are the primary posture mechanisms for their platforms</w:t>
      </w:r>
      <w:r>
        <w:t xml:space="preserve"> </w:t>
      </w:r>
      <w:r>
        <w:t xml:space="preserve">today, ahead of routing that evidence through Defender for Cloud’s ingestion.</w:t>
      </w:r>
      <w:r>
        <w:t xml:space="preserve"> </w:t>
      </w:r>
      <w:r>
        <w:rPr>
          <w:b/>
          <w:bCs/>
        </w:rPr>
        <w:t xml:space="preserve">Microsoft Defender for Cloud</w:t>
      </w:r>
      <w:r>
        <w:t xml:space="preserve"> </w:t>
      </w:r>
      <w:r>
        <w:t xml:space="preserve">remains the coordinating default for Azure and</w:t>
      </w:r>
      <w:r>
        <w:t xml:space="preserve"> </w:t>
      </w:r>
      <w:r>
        <w:t xml:space="preserve">GCP, natively at FedRAMP Moderate.</w:t>
      </w:r>
      <w:r>
        <w:t xml:space="preserve"> </w:t>
      </w:r>
      <w:r>
        <w:rPr>
          <w:b/>
          <w:bCs/>
        </w:rPr>
        <w:t xml:space="preserve">Google Assured Workloads</w:t>
      </w:r>
      <w:r>
        <w:t xml:space="preserve"> </w:t>
      </w:r>
      <w:r>
        <w:t xml:space="preserve">and</w:t>
      </w:r>
      <w:r>
        <w:t xml:space="preserve"> </w:t>
      </w:r>
      <w:r>
        <w:rPr>
          <w:b/>
          <w:bCs/>
        </w:rPr>
        <w:t xml:space="preserve">Security</w:t>
      </w:r>
      <w:r>
        <w:rPr>
          <w:b/>
          <w:bCs/>
        </w:rPr>
        <w:t xml:space="preserve"> </w:t>
      </w:r>
      <w:r>
        <w:rPr>
          <w:b/>
          <w:bCs/>
        </w:rPr>
        <w:t xml:space="preserve">Command Center</w:t>
      </w:r>
      <w:r>
        <w:t xml:space="preserve"> </w:t>
      </w:r>
      <w:r>
        <w:t xml:space="preserve">(GCP) and</w:t>
      </w:r>
      <w:r>
        <w:t xml:space="preserve"> </w:t>
      </w:r>
      <w:r>
        <w:rPr>
          <w:b/>
          <w:bCs/>
        </w:rPr>
        <w:t xml:space="preserve">OCI Cloud Guard</w:t>
      </w:r>
      <w:r>
        <w:t xml:space="preserve"> </w:t>
      </w:r>
      <w:r>
        <w:t xml:space="preserve">(OCI) are documented as each</w:t>
      </w:r>
      <w:r>
        <w:t xml:space="preserve"> </w:t>
      </w:r>
      <w:r>
        <w:t xml:space="preserve">platform’s adoption default — the specific mechanism to stand up the day GCP</w:t>
      </w:r>
      <w:r>
        <w:t xml:space="preserve"> </w:t>
      </w:r>
      <w:r>
        <w:t xml:space="preserve">or OCI is actually procured — not a current-ownership claim; today Defender</w:t>
      </w:r>
      <w:r>
        <w:t xml:space="preserve"> </w:t>
      </w:r>
      <w:r>
        <w:t xml:space="preserve">for Cloud covers GCP and OCI/OKE has no native posture mechanism in place.</w:t>
      </w:r>
      <w:r>
        <w:t xml:space="preserve"> </w:t>
      </w:r>
      <w:r>
        <w:t xml:space="preserve">Where a mechanism (owned, preferred, or documented-default) is FedRAMP High</w:t>
      </w:r>
      <w:r>
        <w:t xml:space="preserve"> </w:t>
      </w:r>
      <w:r>
        <w:t xml:space="preserve">rather than Moderate — AWS Config/Security Hub, Security Command Center, OCI</w:t>
      </w:r>
      <w:r>
        <w:t xml:space="preserve"> </w:t>
      </w:r>
      <w:r>
        <w:t xml:space="preserve">Cloud Guard, and the agency-preferred</w:t>
      </w:r>
      <w:r>
        <w:t xml:space="preserve"> </w:t>
      </w:r>
      <w:r>
        <w:rPr>
          <w:b/>
          <w:bCs/>
        </w:rPr>
        <w:t xml:space="preserve">Palo Alto Prisma Cloud</w:t>
      </w:r>
      <w:r>
        <w:t xml:space="preserve"> </w:t>
      </w:r>
      <w:r>
        <w:t xml:space="preserve">/</w:t>
      </w:r>
      <w:r>
        <w:t xml:space="preserve"> </w:t>
      </w:r>
      <w:r>
        <w:rPr>
          <w:b/>
          <w:bCs/>
        </w:rPr>
        <w:t xml:space="preserve">Wiz for Government</w:t>
      </w:r>
      <w:r>
        <w:t xml:space="preserve"> </w:t>
      </w:r>
      <w:r>
        <w:t xml:space="preserve">— the High-covering-Moderate boundary treatment must be</w:t>
      </w:r>
      <w:r>
        <w:t xml:space="preserve"> </w:t>
      </w:r>
      <w:r>
        <w:t xml:space="preserve">documented; this is not a disqualifier under the Moderate-exclusive rule.</w:t>
      </w:r>
      <w:r>
        <w:t xml:space="preserve"> </w:t>
      </w:r>
      <w:r>
        <w:t xml:space="preserve">Verify all authorization claims on the FedRAMP Marketplace at procurement.</w:t>
      </w:r>
    </w:p>
    <w:bookmarkEnd w:id="124"/>
    <w:bookmarkEnd w:id="125"/>
    <w:bookmarkStart w:id="137" w:name="references-1"/>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CM-6, CM-7, SC-7, RA-5, SA-11, SI-3</w:t>
            </w:r>
          </w:p>
        </w:tc>
      </w:tr>
      <w:tr>
        <w:tc>
          <w:tcPr/>
          <w:p>
            <w:pPr>
              <w:pStyle w:val="Compact"/>
            </w:pPr>
            <w:r>
              <w:t xml:space="preserve">NIST SP 800-207</w:t>
            </w:r>
          </w:p>
        </w:tc>
        <w:tc>
          <w:tcPr/>
          <w:p>
            <w:pPr>
              <w:pStyle w:val="Compact"/>
            </w:pPr>
            <w:r>
              <w:t xml:space="preserve">Zero Trust Architecture (workload exposure)</w:t>
            </w:r>
          </w:p>
        </w:tc>
      </w:tr>
      <w:tr>
        <w:tc>
          <w:tcPr/>
          <w:p>
            <w:pPr>
              <w:pStyle w:val="Compact"/>
            </w:pPr>
            <w:r>
              <w:t xml:space="preserve">NIST SP 800-218</w:t>
            </w:r>
          </w:p>
        </w:tc>
        <w:tc>
          <w:tcPr/>
          <w:p>
            <w:pPr>
              <w:pStyle w:val="Compact"/>
            </w:pPr>
            <w:r>
              <w:t xml:space="preserve">Secure Software Development Framework (shift-left)</w:t>
            </w:r>
          </w:p>
        </w:tc>
      </w:tr>
      <w:tr>
        <w:tc>
          <w:tcPr/>
          <w:p>
            <w:pPr>
              <w:pStyle w:val="Compact"/>
            </w:pPr>
            <w:r>
              <w:t xml:space="preserve">CISA SCuBA</w:t>
            </w:r>
          </w:p>
        </w:tc>
        <w:tc>
          <w:tcPr/>
          <w:p>
            <w:pPr>
              <w:pStyle w:val="Compact"/>
            </w:pPr>
            <w:r>
              <w:t xml:space="preserve">Secure Cloud Business Applications baselines —</w:t>
            </w:r>
            <w:r>
              <w:t xml:space="preserve"> </w:t>
            </w:r>
            <w:hyperlink r:id="rId126">
              <w:r>
                <w:rPr>
                  <w:rStyle w:val="Hyperlink"/>
                </w:rPr>
                <w:t xml:space="preserve">https://www.cisa.gov/scuba</w:t>
              </w:r>
            </w:hyperlink>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101">
              <w:r>
                <w:rPr>
                  <w:rStyle w:val="Hyperlink"/>
                </w:rPr>
                <w:t xml:space="preserve">https://www.cisa.gov/known-exploited-vulnerabilities-catalog</w:t>
              </w:r>
            </w:hyperlink>
          </w:p>
        </w:tc>
      </w:tr>
      <w:tr>
        <w:tc>
          <w:tcPr/>
          <w:p>
            <w:pPr>
              <w:pStyle w:val="Compact"/>
            </w:pPr>
            <w:r>
              <w:t xml:space="preserve">Microsoft Defender for Cloud (multi-cloud CSPM/CWPP)</w:t>
            </w:r>
          </w:p>
        </w:tc>
        <w:tc>
          <w:tcPr/>
          <w:p>
            <w:pPr>
              <w:pStyle w:val="Compact"/>
            </w:pPr>
            <w:hyperlink r:id="rId127">
              <w:r>
                <w:rPr>
                  <w:rStyle w:val="Hyperlink"/>
                </w:rPr>
                <w:t xml:space="preserve">https://learn.microsoft.com/azure/defender-for-cloud/</w:t>
              </w:r>
            </w:hyperlink>
          </w:p>
        </w:tc>
      </w:tr>
      <w:tr>
        <w:tc>
          <w:tcPr/>
          <w:p>
            <w:pPr>
              <w:pStyle w:val="Compact"/>
            </w:pPr>
            <w:r>
              <w:t xml:space="preserve">AWS Config — NIST SP 800-53 Rev 5 conformance pack (AWS, owned)</w:t>
            </w:r>
          </w:p>
        </w:tc>
        <w:tc>
          <w:tcPr/>
          <w:p>
            <w:pPr>
              <w:pStyle w:val="Compact"/>
            </w:pPr>
            <w:hyperlink r:id="rId128">
              <w:r>
                <w:rPr>
                  <w:rStyle w:val="Hyperlink"/>
                </w:rPr>
                <w:t xml:space="preserve">https://docs.aws.amazon.com/config/latest/developerguide/operational-best-practices-for-nist-800-53_rev_5.html</w:t>
              </w:r>
            </w:hyperlink>
          </w:p>
        </w:tc>
      </w:tr>
      <w:tr>
        <w:tc>
          <w:tcPr/>
          <w:p>
            <w:pPr>
              <w:pStyle w:val="Compact"/>
            </w:pPr>
            <w:r>
              <w:t xml:space="preserve">AWS Security Hub (AWS, owned, FedRAMP-authorized above Moderate in AWS GovCloud)</w:t>
            </w:r>
          </w:p>
        </w:tc>
        <w:tc>
          <w:tcPr/>
          <w:p>
            <w:pPr>
              <w:pStyle w:val="Compact"/>
            </w:pPr>
            <w:hyperlink r:id="rId129">
              <w:r>
                <w:rPr>
                  <w:rStyle w:val="Hyperlink"/>
                </w:rPr>
                <w:t xml:space="preserve">https://aws.amazon.com/about-aws/whats-new/2021/04/aws-security-hub-achieves-fedramp-high-authorization-to-enable-security-posture-management-for-high-impact-workloads/</w:t>
              </w:r>
            </w:hyperlink>
          </w:p>
        </w:tc>
      </w:tr>
      <w:tr>
        <w:tc>
          <w:tcPr/>
          <w:p>
            <w:pPr>
              <w:pStyle w:val="Compact"/>
            </w:pPr>
            <w:r>
              <w:t xml:space="preserve">Google Assured Workloads (GCP, adoption default, native FedRAMP Moderate control package)</w:t>
            </w:r>
          </w:p>
        </w:tc>
        <w:tc>
          <w:tcPr/>
          <w:p>
            <w:pPr>
              <w:pStyle w:val="Compact"/>
            </w:pPr>
            <w:hyperlink r:id="rId130">
              <w:r>
                <w:rPr>
                  <w:rStyle w:val="Hyperlink"/>
                </w:rPr>
                <w:t xml:space="preserve">https://cloud.google.com/assured-workloads</w:t>
              </w:r>
            </w:hyperlink>
          </w:p>
        </w:tc>
      </w:tr>
      <w:tr>
        <w:tc>
          <w:tcPr/>
          <w:p>
            <w:pPr>
              <w:pStyle w:val="Compact"/>
            </w:pPr>
            <w:r>
              <w:t xml:space="preserve">Google Security Command Center (GCP, adoption default, FedRAMP-authorized above Moderate)</w:t>
            </w:r>
          </w:p>
        </w:tc>
        <w:tc>
          <w:tcPr/>
          <w:p>
            <w:pPr>
              <w:pStyle w:val="Compact"/>
            </w:pPr>
            <w:hyperlink r:id="rId131">
              <w:r>
                <w:rPr>
                  <w:rStyle w:val="Hyperlink"/>
                </w:rPr>
                <w:t xml:space="preserve">https://cloud.google.com/security-command-center</w:t>
              </w:r>
            </w:hyperlink>
          </w:p>
        </w:tc>
      </w:tr>
      <w:tr>
        <w:tc>
          <w:tcPr/>
          <w:p>
            <w:pPr>
              <w:pStyle w:val="Compact"/>
            </w:pPr>
            <w:r>
              <w:t xml:space="preserve">VMware Aria Operations for Compliance (VMware, owned; vSphere/NSX-T/vSAN STIG benchmark content)</w:t>
            </w:r>
          </w:p>
        </w:tc>
        <w:tc>
          <w:tcPr/>
          <w:p>
            <w:pPr>
              <w:pStyle w:val="Compact"/>
            </w:pPr>
            <w:hyperlink r:id="rId132">
              <w:r>
                <w:rPr>
                  <w:rStyle w:val="Hyperlink"/>
                </w:rPr>
                <w:t xml:space="preserve">https://techdocs.broadcom.com/us/en/vmware-cis/vcf/stig/9-0/vcf-stig-documentation/docs-tutorials-Aria-aria.html</w:t>
              </w:r>
            </w:hyperlink>
          </w:p>
        </w:tc>
      </w:tr>
      <w:tr>
        <w:tc>
          <w:tcPr/>
          <w:p>
            <w:pPr>
              <w:pStyle w:val="Compact"/>
            </w:pPr>
            <w:r>
              <w:t xml:space="preserve">Oracle Cloud Guard (OCI, adoption default, residual-gap closer, FedRAMP-authorized above Moderate / DISA IL5)</w:t>
            </w:r>
          </w:p>
        </w:tc>
        <w:tc>
          <w:tcPr/>
          <w:p>
            <w:pPr>
              <w:pStyle w:val="Compact"/>
            </w:pPr>
            <w:hyperlink r:id="rId133">
              <w:r>
                <w:rPr>
                  <w:rStyle w:val="Hyperlink"/>
                </w:rPr>
                <w:t xml:space="preserve">https://www.oracle.com/security/cloud-security/cloud-guard/</w:t>
              </w:r>
            </w:hyperlink>
          </w:p>
        </w:tc>
      </w:tr>
      <w:tr>
        <w:tc>
          <w:tcPr/>
          <w:p>
            <w:pPr>
              <w:pStyle w:val="Compact"/>
            </w:pPr>
            <w:r>
              <w:t xml:space="preserve">Palo Alto Prisma Cloud (CNAPP, FedRAMP High)</w:t>
            </w:r>
          </w:p>
        </w:tc>
        <w:tc>
          <w:tcPr/>
          <w:p>
            <w:pPr>
              <w:pStyle w:val="Compact"/>
            </w:pPr>
            <w:hyperlink r:id="rId134">
              <w:r>
                <w:rPr>
                  <w:rStyle w:val="Hyperlink"/>
                </w:rPr>
                <w:t xml:space="preserve">https://www.paloaltonetworks.com/blog/prisma-cloud/fedramp-high-impact-ready/</w:t>
              </w:r>
            </w:hyperlink>
          </w:p>
        </w:tc>
      </w:tr>
      <w:tr>
        <w:tc>
          <w:tcPr/>
          <w:p>
            <w:pPr>
              <w:pStyle w:val="Compact"/>
            </w:pPr>
            <w:r>
              <w:t xml:space="preserve">Wiz for Government (CNAPP, FedRAMP High)</w:t>
            </w:r>
          </w:p>
        </w:tc>
        <w:tc>
          <w:tcPr/>
          <w:p>
            <w:pPr>
              <w:pStyle w:val="Compact"/>
            </w:pPr>
            <w:hyperlink r:id="rId135">
              <w:r>
                <w:rPr>
                  <w:rStyle w:val="Hyperlink"/>
                </w:rPr>
                <w:t xml:space="preserve">https://www.wiz.io/blog/wiz-achieves-fedramp-high-authorization</w:t>
              </w:r>
            </w:hyperlink>
          </w:p>
        </w:tc>
      </w:tr>
    </w:tbl>
    <w:bookmarkStart w:id="136" w:name="draft-proposal-subject-to-review-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36"/>
    <w:p>
      <w:pPr>
        <w:pStyle w:val="BodyText"/>
      </w:pPr>
      <w:r>
        <w:rPr>
          <w:b/>
          <w:bCs/>
        </w:rPr>
        <w:t xml:space="preserve">Series Context</w:t>
      </w:r>
      <w:r>
        <w:t xml:space="preserve"> </w:t>
      </w:r>
      <w:r>
        <w:t xml:space="preserve">— This document is Vol III Book 05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Vol III Book 01 addresses Privileged Access Management. Vol III Book 06 addresses SIEM, XDR, and Detection Engineering. This part addresses the data layer: what the data is, where it is allowed to go, and whether it is cryptographically protected at rest and in transit.</w:t>
      </w:r>
    </w:p>
    <w:bookmarkEnd w:id="137"/>
    <w:bookmarkStart w:id="138" w:name="what-this-document-addresses-4"/>
    <w:p>
      <w:pPr>
        <w:pStyle w:val="Heading1"/>
      </w:pPr>
      <w:r>
        <w:t xml:space="preserve">What This Document Addresses</w:t>
      </w:r>
    </w:p>
    <w:p>
      <w:pPr>
        <w:pStyle w:val="FirstParagraph"/>
      </w:pPr>
      <w:r>
        <w:t xml:space="preserve">Volumes I and II of this series, together with the Privileged Access Management and Vulnerability Management books of Volume III, address the pipe and the identity behind the pipe. Network controls determine which paths traffic can take. Authentication controls determine who is asserting an identity and whether that assertion can be cryptographically verified. Conditional Access controls determine whether a verified identity is permitted to reach a given workload at a given moment from a given device. Privileged Access Management controls determine whether an administrative identity is allowed to hold elevated scope and for how long. Security Operations controls determine whether anomalous behavior is detected, correlated, and escalated.</w:t>
      </w:r>
    </w:p>
    <w:p>
      <w:pPr>
        <w:pStyle w:val="BodyText"/>
      </w:pPr>
      <w:r>
        <w:t xml:space="preserve">None of those controls answer a different and equally important question: what is the</w:t>
      </w:r>
      <w:r>
        <w:t xml:space="preserve"> </w:t>
      </w:r>
      <w:r>
        <w:rPr>
          <w:i/>
          <w:iCs/>
        </w:rPr>
        <w:t xml:space="preserve">payload</w:t>
      </w:r>
      <w:r>
        <w:t xml:space="preserve">?</w:t>
      </w:r>
    </w:p>
    <w:p>
      <w:pPr>
        <w:pStyle w:val="BodyText"/>
      </w:pPr>
      <w:r>
        <w:t xml:space="preserve">A Cloud Access Security Broker (CASB) operating at the network boundary can see that a file is moving from a managed endpoint to OneDrive. It can see the file’s size, the identity of the sender, and the destination tenant. What it cannot determine without additional signal is whether that file contains Controlled Unclassified Information (CUI) — a Privacy Act record, a law enforcement sensitive document, or a personnel file. The network pipe is regulated; the payload is opaque. An assessor who reviews only the network and identity controls will correctly note that data exfiltration cannot be prevented by pipe control alone: a user who is legitimately authenticated, on a managed device, sending a file to a compliant destination can still exfiltrate sensitive data if the data is not identified as sensitive before it moves.</w:t>
      </w:r>
    </w:p>
    <w:p>
      <w:pPr>
        <w:pStyle w:val="BodyText"/>
      </w:pPr>
      <w:r>
        <w:t xml:space="preserve">This document closes the payload gap through three coordinated mechanisms: a federal data classification taxonomy enforced via sensitivity labels (information classification and marking); Data Loss Prevention policies that use label-derived signal to enforce movement restrictions at the service, endpoint, and network boundary layers; and cryptographic key management that ensures classified data is protected by keys the agency controls and can rotate or revoke. Together these mechanisms address the data-layer NIST SP 800-53 Rev 5 controls — AC-4, AU-10, the MP family, SC-12, SC-12(1), SC-13, SC-17, and SC-28 — that remain open after the network and identity layers are complete.</w:t>
      </w:r>
    </w:p>
    <w:p>
      <w:pPr>
        <w:pStyle w:val="BodyText"/>
      </w:pPr>
      <w:r>
        <w:rPr>
          <w:b/>
          <w:bCs/>
        </w:rPr>
        <w:t xml:space="preserve">Enforcement Dimensions</w:t>
      </w:r>
      <w:r>
        <w:t xml:space="preserve"> </w:t>
      </w:r>
      <w:r>
        <w:t xml:space="preserve">— Network and identity enforcement governs the pipe: who connects, over what path, with what credential, from what device. Data protection governs the payload: what the content is, whether it is marked, whether it is allowed to leave the boundary, and whether it is encrypted under agency-controlled keys. Both dimensions are required for a complete FedRAMP Moderate authorization. Implementing the network and identity layers without the data layer leaves the MP and SC-12 control families unsatisfied.</w:t>
      </w:r>
    </w:p>
    <w:bookmarkEnd w:id="138"/>
    <w:bookmarkStart w:id="141" w:name="the-classification-gap"/>
    <w:p>
      <w:pPr>
        <w:pStyle w:val="Heading1"/>
      </w:pPr>
      <w:r>
        <w:t xml:space="preserve">The Classification Gap</w:t>
      </w:r>
    </w:p>
    <w:bookmarkStart w:id="139" w:name="what-an-assessor-finds-without-purview"/>
    <w:p>
      <w:pPr>
        <w:pStyle w:val="Heading2"/>
      </w:pPr>
      <w:r>
        <w:t xml:space="preserve">What an Assessor Finds Without Purview</w:t>
      </w:r>
    </w:p>
    <w:p>
      <w:pPr>
        <w:pStyle w:val="FirstParagraph"/>
      </w:pPr>
      <w:r>
        <w:t xml:space="preserve">A security assessment of a Microsoft 365 environment that has completed network and identity hardening but has not implemented a data classification framework will produce a predictable set of findings. The specific findings vary by agency, but the structural gaps are consistent.</w:t>
      </w:r>
    </w:p>
    <w:p>
      <w:pPr>
        <w:pStyle w:val="BodyText"/>
      </w:pPr>
      <w:r>
        <w:rPr>
          <w:b/>
          <w:bCs/>
        </w:rPr>
        <w:t xml:space="preserve">No data classification scheme.</w:t>
      </w:r>
      <w:r>
        <w:t xml:space="preserve"> </w:t>
      </w:r>
      <w:r>
        <w:t xml:space="preserve">Documents in SharePoint Online carry no sensitivity labels. There is no programmatic way to determine whether a given file is public, internal, CUI-Basic, or CUI-Specified. The classification decision, where it exists at all, lives in the filename, a metadata field that users populate manually, or the folder structure of the document library. None of these are enforceable or auditable in a machine-readable way.</w:t>
      </w:r>
    </w:p>
    <w:p>
      <w:pPr>
        <w:pStyle w:val="BodyText"/>
      </w:pPr>
      <w:r>
        <w:rPr>
          <w:b/>
          <w:bCs/>
        </w:rPr>
        <w:t xml:space="preserve">Sensitivity labels absent from SharePoint documents.</w:t>
      </w:r>
      <w:r>
        <w:t xml:space="preserve"> </w:t>
      </w:r>
      <w:r>
        <w:t xml:space="preserve">Without labels, every SharePoint document is treated identically by the Microsoft 365 service layer. SharePoint external sharing settings apply to the entire site or library. There is no mechanism to restrict external sharing for a CUI document while permitting external sharing for a public document stored in the same library. The site administrator’s choice of sharing policy is applied uniformly and cannot differentiate by content sensitivity.</w:t>
      </w:r>
    </w:p>
    <w:p>
      <w:pPr>
        <w:pStyle w:val="BodyText"/>
      </w:pPr>
      <w:r>
        <w:rPr>
          <w:b/>
          <w:bCs/>
        </w:rPr>
        <w:t xml:space="preserve">No DLP policy on Teams channels.</w:t>
      </w:r>
      <w:r>
        <w:t xml:space="preserve"> </w:t>
      </w:r>
      <w:r>
        <w:t xml:space="preserve">Teams messages, file attachments shared in channels, and files opened from the Teams client are outside the enforcement boundary of network-layer controls. An employee pasting a Social Security Number into a Teams message sends it to the Teams service in plaintext; the message is stored in Exchange Online. Without a DLP policy that detects and blocks that pattern, the SSN transits the service undetected.</w:t>
      </w:r>
    </w:p>
    <w:p>
      <w:pPr>
        <w:pStyle w:val="BodyText"/>
      </w:pPr>
      <w:r>
        <w:rPr>
          <w:b/>
          <w:bCs/>
        </w:rPr>
        <w:t xml:space="preserve">Encryption keys managed by individual application owners with no central inventory.</w:t>
      </w:r>
      <w:r>
        <w:t xml:space="preserve"> </w:t>
      </w:r>
      <w:r>
        <w:t xml:space="preserve">SQL Server TDE keys, certificate private keys, and application secrets are stored in configuration files, local Windows Certificate stores, or individual Azure subscriptions. There is no central key vault. There is no rotation policy. There is no audit trail for key access. An assessor cannot determine whether keys were rotated after the departure of an administrator who had access to them.</w:t>
      </w:r>
    </w:p>
    <w:p>
      <w:pPr>
        <w:pStyle w:val="BodyText"/>
      </w:pPr>
      <w:r>
        <w:rPr>
          <w:b/>
          <w:bCs/>
        </w:rPr>
        <w:t xml:space="preserve">Non-repudiation (AU-10) not satisfied.</w:t>
      </w:r>
      <w:r>
        <w:t xml:space="preserve"> </w:t>
      </w:r>
      <w:r>
        <w:t xml:space="preserve">Standard Microsoft 365 audit logging captures events — a user accessed a file, a message was sent — but the log records are not signed. Standard audit logs are mutable by a Global Administrator. They do not satisfy AU-10’s requirement that the system be able to determine</w:t>
      </w:r>
      <w:r>
        <w:t xml:space="preserve"> </w:t>
      </w:r>
      <w:r>
        <w:rPr>
          <w:i/>
          <w:iCs/>
        </w:rPr>
        <w:t xml:space="preserve">with certainty</w:t>
      </w:r>
      <w:r>
        <w:t xml:space="preserve"> </w:t>
      </w:r>
      <w:r>
        <w:t xml:space="preserve">that a given individual took a specific action, because a sufficiently privileged insider could alter the record.</w:t>
      </w:r>
    </w:p>
    <w:p>
      <w:pPr>
        <w:pStyle w:val="BodyText"/>
      </w:pPr>
      <w:r>
        <w:rPr>
          <w:b/>
          <w:bCs/>
        </w:rPr>
        <w:t xml:space="preserve">SharePoint Online permissions grant access to entire sites rather than classified content.</w:t>
      </w:r>
      <w:r>
        <w:t xml:space="preserve"> </w:t>
      </w:r>
      <w:r>
        <w:t xml:space="preserve">Access control decisions are made at the site or library level. A user with read access to a SharePoint site that contains a mix of public documents and CUI documents has read access to all of them. The permission boundary is the container, not the content.</w:t>
      </w:r>
    </w:p>
    <w:bookmarkEnd w:id="139"/>
    <w:bookmarkStart w:id="140" w:name="why-casb-alone-is-insufficient"/>
    <w:p>
      <w:pPr>
        <w:pStyle w:val="Heading2"/>
      </w:pPr>
      <w:r>
        <w:t xml:space="preserve">Why CASB Alone Is Insufficient</w:t>
      </w:r>
    </w:p>
    <w:p>
      <w:pPr>
        <w:pStyle w:val="FirstParagraph"/>
      </w:pPr>
      <w:r>
        <w:t xml:space="preserve">The Cloud Access Security Broker deployed in Vol I Book 06 (Federal Telecommunications Modernization, SASE architecture) provides network-layer visibility into cloud service traffic. It can identify the application, the user, the device compliance status, the destination, and the volume of data. It enforces access policy based on those signals.</w:t>
      </w:r>
    </w:p>
    <w:p>
      <w:pPr>
        <w:pStyle w:val="BodyText"/>
      </w:pPr>
      <w:r>
        <w:t xml:space="preserve">What the CASB cannot do, by itself, is classify content. When a file moves from SharePoint to OneDrive, the CASB sees a file transfer. It does not know whether the file is a publicly released press statement or a Privacy Act record. Without a classification label attached to the file, the CASB has no payload signal to act on. It can apply coarse policies — block all downloads of files larger than a threshold, or block all uploads to consumer cloud storage — but it cannot enforce</w:t>
      </w:r>
      <w:r>
        <w:t xml:space="preserve"> </w:t>
      </w:r>
      <w:r>
        <w:t xml:space="preserve">“block external sharing of CUI”</w:t>
      </w:r>
      <w:r>
        <w:t xml:space="preserve"> </w:t>
      </w:r>
      <w:r>
        <w:t xml:space="preserve">because it cannot determine whether a given file is CUI.</w:t>
      </w:r>
    </w:p>
    <w:p>
      <w:pPr>
        <w:pStyle w:val="BodyText"/>
      </w:pPr>
      <w:r>
        <w:t xml:space="preserve">Purview sensitivity labels solve this problem. When a label is applied to a file — either manually by the author or automatically by a classifier policy — the label metadata travels with the file as an encrypted property of the Office Open XML container or as a custom property on the PDF. The CASB reads the label and enforces the policy that corresponds to it. This is the integration point: Purview classifies the payload; the CASB enforces based on the classification. The two controls operate on different layers and are not substitutes for each other.</w:t>
      </w:r>
    </w:p>
    <w:bookmarkEnd w:id="140"/>
    <w:bookmarkEnd w:id="141"/>
    <w:bookmarkStart w:id="145" w:name="federal-data-classification-taxonomy"/>
    <w:p>
      <w:pPr>
        <w:pStyle w:val="Heading1"/>
      </w:pPr>
      <w:r>
        <w:t xml:space="preserve">Federal Data Classification Taxonomy</w:t>
      </w:r>
    </w:p>
    <w:bookmarkStart w:id="142" w:name="the-federal-cui-framework"/>
    <w:p>
      <w:pPr>
        <w:pStyle w:val="Heading2"/>
      </w:pPr>
      <w:r>
        <w:t xml:space="preserve">The Federal CUI Framework</w:t>
      </w:r>
    </w:p>
    <w:p>
      <w:pPr>
        <w:pStyle w:val="FirstParagraph"/>
      </w:pPr>
      <w:r>
        <w:t xml:space="preserve">The federal government’s data classification framework for unclassified information is governed by Executive Order 13556 and implemented by the National Archives and Records Administration (NARA) through the CUI Registry. NIST SP 800-171 provides the security requirements for protecting CUI in non-federal systems; NIST SP 800-53 Rev 5 provides the equivalent for federal information systems.</w:t>
      </w:r>
    </w:p>
    <w:p>
      <w:pPr>
        <w:pStyle w:val="BodyText"/>
      </w:pPr>
      <w:r>
        <w:t xml:space="preserve">The framework defines four operative categories for a civilian agency’s unclassified data holdings:</w:t>
      </w:r>
    </w:p>
    <w:p>
      <w:pPr>
        <w:pStyle w:val="BodyText"/>
      </w:pPr>
      <w:r>
        <w:rPr>
          <w:b/>
          <w:bCs/>
        </w:rPr>
        <w:t xml:space="preserve">Public.</w:t>
      </w:r>
      <w:r>
        <w:t xml:space="preserve"> </w:t>
      </w:r>
      <w:r>
        <w:t xml:space="preserve">Information cleared for unrestricted release. Press releases, published regulations, publicly available program data. No handling restrictions. No marking required.</w:t>
      </w:r>
    </w:p>
    <w:p>
      <w:pPr>
        <w:pStyle w:val="BodyText"/>
      </w:pPr>
      <w:r>
        <w:rPr>
          <w:b/>
          <w:bCs/>
        </w:rPr>
        <w:t xml:space="preserve">Internal.</w:t>
      </w:r>
      <w:r>
        <w:t xml:space="preserve"> </w:t>
      </w:r>
      <w:r>
        <w:t xml:space="preserve">Information that is not classified but is not intended for public release: internal email threads, draft documents, working papers, administrative communications. No legal marking requirement under the CUI Registry, but agencies may establish internal handling policies that restrict distribution.</w:t>
      </w:r>
    </w:p>
    <w:p>
      <w:pPr>
        <w:pStyle w:val="BodyText"/>
      </w:pPr>
      <w:r>
        <w:rPr>
          <w:b/>
          <w:bCs/>
        </w:rPr>
        <w:t xml:space="preserve">CUI — Basic.</w:t>
      </w:r>
      <w:r>
        <w:t xml:space="preserve"> </w:t>
      </w:r>
      <w:r>
        <w:t xml:space="preserve">Controlled Unclassified Information subject to the handling requirements of the CUI Registry without additional or alternate handling requirements from the authorizing law, regulation, or policy. The basic standard: mark with the CUI designation, use approved safeguards for protection, and limit access to authorized holders. Examples: pre-decisional budget documents, law enforcement sensitive data not covered by a more specific CUI category, personally identifiable information not covered by Privacy Act.</w:t>
      </w:r>
    </w:p>
    <w:p>
      <w:pPr>
        <w:pStyle w:val="BodyText"/>
      </w:pPr>
      <w:r>
        <w:rPr>
          <w:b/>
          <w:bCs/>
        </w:rPr>
        <w:t xml:space="preserve">CUI — Specified.</w:t>
      </w:r>
      <w:r>
        <w:t xml:space="preserve"> </w:t>
      </w:r>
      <w:r>
        <w:t xml:space="preserve">CUI where the authorizing law, regulation, or government-wide policy establishes specific handling requirements that differ from the basic standard. The Specified designation requires the agency to cite the specific authority. Key examples in a typical federal environment: Privacy Act records (authority: 5 U.S.C. § 552a); Tax information (authority: 26 U.S.C. § 6103); Law Enforcement Sensitive (authority: agency-specific); Health information protected under HIPAA.</w:t>
      </w:r>
    </w:p>
    <w:bookmarkEnd w:id="142"/>
    <w:bookmarkStart w:id="143" w:name="X0d4b548f5be63ddbfe61573feea029153ebfaf1"/>
    <w:p>
      <w:pPr>
        <w:pStyle w:val="Heading2"/>
      </w:pPr>
      <w:r>
        <w:t xml:space="preserve">Mapping to Microsoft Purview Sensitivity Labels</w:t>
      </w:r>
    </w:p>
    <w:p>
      <w:pPr>
        <w:pStyle w:val="FirstParagraph"/>
      </w:pPr>
      <w:r>
        <w:t xml:space="preserve">The CUI taxonomy maps to Purview sensitivity labels with the following protective controls at each tier.</w:t>
      </w:r>
    </w:p>
    <w:p>
      <w:pPr>
        <w:pStyle w:val="TableCaption"/>
      </w:pPr>
      <w:r>
        <w:t xml:space="preserve">Sensitivity label mapping to CUI tiers</w:t>
      </w:r>
    </w:p>
    <w:tbl>
      <w:tblPr>
        <w:tblStyle w:val="Table"/>
        <w:tblW w:type="pct" w:w="5000"/>
        <w:tblLayout w:type="fixed"/>
        <w:tblLook w:firstRow="1" w:lastRow="0" w:firstColumn="0" w:lastColumn="0" w:noHBand="0" w:noVBand="0" w:val="0020"/>
        <w:tblCaption w:val="Sensitivity label mapping to CUI tiers"/>
      </w:tblPr>
      <w:tblGrid>
        <w:gridCol w:w="1584"/>
        <w:gridCol w:w="1584"/>
        <w:gridCol w:w="1584"/>
        <w:gridCol w:w="1584"/>
        <w:gridCol w:w="1584"/>
      </w:tblGrid>
      <w:tr>
        <w:trPr>
          <w:tblHeader w:val="on"/>
        </w:trPr>
        <w:tc>
          <w:tcPr/>
          <w:p>
            <w:pPr>
              <w:pStyle w:val="Compact"/>
            </w:pPr>
            <w:r>
              <w:t xml:space="preserve">CUI Tier</w:t>
            </w:r>
          </w:p>
        </w:tc>
        <w:tc>
          <w:tcPr/>
          <w:p>
            <w:pPr>
              <w:pStyle w:val="Compact"/>
            </w:pPr>
            <w:r>
              <w:t xml:space="preserve">Purview Label</w:t>
            </w:r>
          </w:p>
        </w:tc>
        <w:tc>
          <w:tcPr/>
          <w:p>
            <w:pPr>
              <w:pStyle w:val="Compact"/>
            </w:pPr>
            <w:r>
              <w:t xml:space="preserve">Encryption</w:t>
            </w:r>
          </w:p>
        </w:tc>
        <w:tc>
          <w:tcPr/>
          <w:p>
            <w:pPr>
              <w:pStyle w:val="Compact"/>
            </w:pPr>
            <w:r>
              <w:t xml:space="preserve">Access Scope</w:t>
            </w:r>
          </w:p>
        </w:tc>
        <w:tc>
          <w:tcPr/>
          <w:p>
            <w:pPr>
              <w:pStyle w:val="Compact"/>
            </w:pPr>
            <w:r>
              <w:t xml:space="preserve">Audit Logging</w:t>
            </w:r>
          </w:p>
        </w:tc>
      </w:tr>
      <w:tr>
        <w:tc>
          <w:tcPr/>
          <w:p>
            <w:pPr>
              <w:pStyle w:val="Compact"/>
            </w:pPr>
            <w:r>
              <w:t xml:space="preserve">Public</w:t>
            </w:r>
          </w:p>
        </w:tc>
        <w:tc>
          <w:tcPr/>
          <w:p>
            <w:pPr>
              <w:pStyle w:val="Compact"/>
            </w:pPr>
            <w:r>
              <w:t xml:space="preserve">None or</w:t>
            </w:r>
            <w:r>
              <w:t xml:space="preserve"> </w:t>
            </w:r>
            <w:r>
              <w:t xml:space="preserve">“Public”</w:t>
            </w:r>
          </w:p>
        </w:tc>
        <w:tc>
          <w:tcPr/>
          <w:p>
            <w:pPr>
              <w:pStyle w:val="Compact"/>
            </w:pPr>
            <w:r>
              <w:t xml:space="preserve">None</w:t>
            </w:r>
          </w:p>
        </w:tc>
        <w:tc>
          <w:tcPr/>
          <w:p>
            <w:pPr>
              <w:pStyle w:val="Compact"/>
            </w:pPr>
            <w:r>
              <w:t xml:space="preserve">Unrestricted</w:t>
            </w:r>
          </w:p>
        </w:tc>
        <w:tc>
          <w:tcPr/>
          <w:p>
            <w:pPr>
              <w:pStyle w:val="Compact"/>
            </w:pPr>
            <w:r>
              <w:t xml:space="preserve">Standard</w:t>
            </w:r>
          </w:p>
        </w:tc>
      </w:tr>
      <w:tr>
        <w:tc>
          <w:tcPr/>
          <w:p>
            <w:pPr>
              <w:pStyle w:val="Compact"/>
            </w:pPr>
            <w:r>
              <w:t xml:space="preserve">Internal</w:t>
            </w:r>
          </w:p>
        </w:tc>
        <w:tc>
          <w:tcPr/>
          <w:p>
            <w:pPr>
              <w:pStyle w:val="Compact"/>
            </w:pPr>
            <w:r>
              <w:t xml:space="preserve">“Internal”</w:t>
            </w:r>
          </w:p>
        </w:tc>
        <w:tc>
          <w:tcPr/>
          <w:p>
            <w:pPr>
              <w:pStyle w:val="Compact"/>
            </w:pPr>
            <w:r>
              <w:t xml:space="preserve">None</w:t>
            </w:r>
          </w:p>
        </w:tc>
        <w:tc>
          <w:tcPr/>
          <w:p>
            <w:pPr>
              <w:pStyle w:val="Compact"/>
            </w:pPr>
            <w:r>
              <w:t xml:space="preserve">Agency domain (informational)</w:t>
            </w:r>
          </w:p>
        </w:tc>
        <w:tc>
          <w:tcPr/>
          <w:p>
            <w:pPr>
              <w:pStyle w:val="Compact"/>
            </w:pPr>
            <w:r>
              <w:t xml:space="preserve">Standard</w:t>
            </w:r>
          </w:p>
        </w:tc>
      </w:tr>
      <w:tr>
        <w:tc>
          <w:tcPr/>
          <w:p>
            <w:pPr>
              <w:pStyle w:val="Compact"/>
            </w:pPr>
            <w:r>
              <w:t xml:space="preserve">CUI-Basic</w:t>
            </w:r>
          </w:p>
        </w:tc>
        <w:tc>
          <w:tcPr/>
          <w:p>
            <w:pPr>
              <w:pStyle w:val="Compact"/>
            </w:pPr>
            <w:r>
              <w:t xml:space="preserve">“CUI-Basic”</w:t>
            </w:r>
          </w:p>
        </w:tc>
        <w:tc>
          <w:tcPr/>
          <w:p>
            <w:pPr>
              <w:pStyle w:val="Compact"/>
            </w:pPr>
            <w:r>
              <w:t xml:space="preserve">Yes — AIP BYOK</w:t>
            </w:r>
          </w:p>
        </w:tc>
        <w:tc>
          <w:tcPr/>
          <w:p>
            <w:pPr>
              <w:pStyle w:val="Compact"/>
            </w:pPr>
            <w:r>
              <w:t xml:space="preserve">Agency domain (enforced)</w:t>
            </w:r>
          </w:p>
        </w:tc>
        <w:tc>
          <w:tcPr/>
          <w:p>
            <w:pPr>
              <w:pStyle w:val="Compact"/>
            </w:pPr>
            <w:r>
              <w:t xml:space="preserve">Standard + label events</w:t>
            </w:r>
          </w:p>
        </w:tc>
      </w:tr>
      <w:tr>
        <w:tc>
          <w:tcPr/>
          <w:p>
            <w:pPr>
              <w:pStyle w:val="Compact"/>
            </w:pPr>
            <w:r>
              <w:t xml:space="preserve">CUI-Specified</w:t>
            </w:r>
          </w:p>
        </w:tc>
        <w:tc>
          <w:tcPr/>
          <w:p>
            <w:pPr>
              <w:pStyle w:val="Compact"/>
            </w:pPr>
            <w:r>
              <w:t xml:space="preserve">“CUI-Specified — [Category]”</w:t>
            </w:r>
          </w:p>
        </w:tc>
        <w:tc>
          <w:tcPr/>
          <w:p>
            <w:pPr>
              <w:pStyle w:val="Compact"/>
            </w:pPr>
            <w:r>
              <w:t xml:space="preserve">Yes — AIP BYOK</w:t>
            </w:r>
          </w:p>
        </w:tc>
        <w:tc>
          <w:tcPr/>
          <w:p>
            <w:pPr>
              <w:pStyle w:val="Compact"/>
            </w:pPr>
            <w:r>
              <w:t xml:space="preserve">Named authorized holders, time-limited</w:t>
            </w:r>
          </w:p>
        </w:tc>
        <w:tc>
          <w:tcPr/>
          <w:p>
            <w:pPr>
              <w:pStyle w:val="Compact"/>
            </w:pPr>
            <w:r>
              <w:t xml:space="preserve">Purview Audit Premium</w:t>
            </w:r>
          </w:p>
        </w:tc>
      </w:tr>
    </w:tbl>
    <w:p>
      <w:pPr>
        <w:pStyle w:val="BodyText"/>
      </w:pPr>
      <w:r>
        <w:t xml:space="preserve">The label hierarchy in the Purview compliance portal must reflect this taxonomy. Labels are organized in a parent-child structure: the parent label represents the tier; child labels represent CUI Specified categories. For example, the</w:t>
      </w:r>
      <w:r>
        <w:t xml:space="preserve"> </w:t>
      </w:r>
      <w:r>
        <w:t xml:space="preserve">“CUI-Specified”</w:t>
      </w:r>
      <w:r>
        <w:t xml:space="preserve"> </w:t>
      </w:r>
      <w:r>
        <w:t xml:space="preserve">parent label has child labels for</w:t>
      </w:r>
      <w:r>
        <w:t xml:space="preserve"> </w:t>
      </w:r>
      <w:r>
        <w:t xml:space="preserve">“Privacy Act,”</w:t>
      </w:r>
      <w:r>
        <w:t xml:space="preserve"> </w:t>
      </w:r>
      <w:r>
        <w:t xml:space="preserve">“Law Enforcement Sensitive,”</w:t>
      </w:r>
      <w:r>
        <w:t xml:space="preserve"> </w:t>
      </w:r>
      <w:r>
        <w:t xml:space="preserve">and</w:t>
      </w:r>
      <w:r>
        <w:t xml:space="preserve"> </w:t>
      </w:r>
      <w:r>
        <w:t xml:space="preserve">“Tax Information”</w:t>
      </w:r>
      <w:r>
        <w:t xml:space="preserve"> </w:t>
      </w:r>
      <w:r>
        <w:t xml:space="preserve">— each with the protective controls appropriate to its specific authority.</w:t>
      </w:r>
    </w:p>
    <w:bookmarkEnd w:id="143"/>
    <w:bookmarkStart w:id="144" w:name="X1f48f560f0773e602c364a30274260411fb0058"/>
    <w:p>
      <w:pPr>
        <w:pStyle w:val="Heading2"/>
      </w:pPr>
      <w:r>
        <w:t xml:space="preserve">Creating the Label Taxonomy in the Compliance Portal</w:t>
      </w:r>
    </w:p>
    <w:p>
      <w:pPr>
        <w:pStyle w:val="FirstParagraph"/>
      </w:pPr>
      <w:r>
        <w:t xml:space="preserve">The label taxonomy is created and managed through the Microsoft Purview compliance portal (compliance.microsoft.com) or through the Security and Compliance PowerShell module. The following creates the four-tier structure.</w:t>
      </w:r>
    </w:p>
    <w:p>
      <w:pPr>
        <w:pStyle w:val="SourceCode"/>
      </w:pPr>
      <w:r>
        <w:rPr>
          <w:rStyle w:val="CommentTok"/>
        </w:rPr>
        <w:t xml:space="preserve"># Connect to Security &amp; Compliance PowerShell</w:t>
      </w:r>
      <w:r>
        <w:br/>
      </w:r>
      <w:r>
        <w:rPr>
          <w:rStyle w:val="NormalTok"/>
        </w:rPr>
        <w:t xml:space="preserve">Connect-IPPSSession </w:t>
      </w:r>
      <w:r>
        <w:rPr>
          <w:rStyle w:val="OperatorTok"/>
        </w:rPr>
        <w:t xml:space="preserve">-</w:t>
      </w:r>
      <w:r>
        <w:rPr>
          <w:rStyle w:val="NormalTok"/>
        </w:rPr>
        <w:t xml:space="preserve">UserPrincipalName admin@agency</w:t>
      </w:r>
      <w:r>
        <w:rPr>
          <w:rStyle w:val="OperatorTok"/>
        </w:rPr>
        <w:t xml:space="preserve">.</w:t>
      </w:r>
      <w:r>
        <w:rPr>
          <w:rStyle w:val="FunctionTok"/>
        </w:rPr>
        <w:t xml:space="preserve">gov</w:t>
      </w:r>
      <w:r>
        <w:br/>
      </w:r>
      <w:r>
        <w:br/>
      </w:r>
      <w:r>
        <w:rPr>
          <w:rStyle w:val="CommentTok"/>
        </w:rPr>
        <w:t xml:space="preserve"># Create parent label: Public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"Information approved for public release. No handling restrictions."</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"PUBLIC"</w:t>
      </w:r>
      <w:r>
        <w:br/>
      </w:r>
      <w:r>
        <w:rPr>
          <w:rStyle w:val="NormalTok"/>
        </w:rPr>
        <w:t xml:space="preserve">  </w:t>
      </w:r>
      <w:r>
        <w:rPr>
          <w:rStyle w:val="OperatorTok"/>
        </w:rPr>
        <w:t xml:space="preserve">}</w:t>
      </w:r>
      <w:r>
        <w:br/>
      </w:r>
      <w:r>
        <w:br/>
      </w:r>
      <w:r>
        <w:rPr>
          <w:rStyle w:val="CommentTok"/>
        </w:rPr>
        <w:t xml:space="preserve"># Create parent label: Internal</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"Internal use only. Not for public release."</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"INTERNAL"</w:t>
      </w:r>
      <w:r>
        <w:br/>
      </w:r>
      <w:r>
        <w:rPr>
          <w:rStyle w:val="NormalTok"/>
        </w:rPr>
        <w:t xml:space="preserve">  </w:t>
      </w:r>
      <w:r>
        <w:rPr>
          <w:rStyle w:val="OperatorTok"/>
        </w:rPr>
        <w:t xml:space="preserve">}</w:t>
      </w:r>
      <w:r>
        <w:br/>
      </w:r>
      <w:r>
        <w:br/>
      </w:r>
      <w:r>
        <w:rPr>
          <w:rStyle w:val="CommentTok"/>
        </w:rPr>
        <w:t xml:space="preserve"># Create parent label: CUI-Basic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Basic"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Basic. Handle per CUI Registry requirements."</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EncryptionDoNotForward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EncryptionEncryptOnly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"agency.gov:VIEW,VIEWRIGHTSDATA,DOCEDIT,EDIT,PRINT,EXTRACT,REPLY,REPLYALL,FORWARD,OBJMODEL"</w:t>
      </w:r>
      <w:r>
        <w:br/>
      </w:r>
      <w:r>
        <w:br/>
      </w:r>
      <w:r>
        <w:rPr>
          <w:rStyle w:val="CommentTok"/>
        </w:rPr>
        <w:t xml:space="preserve"># Create parent label: CUI-Specified (container only; child labels carry specific authorities)</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Specified. Cite authorizing law or policy."</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Create child label: CUI-Specified / Privacy Act</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SP-PRVCY"</w:t>
      </w:r>
      <w:r>
        <w:rPr>
          <w:rStyle w:val="NormalTok"/>
        </w:rPr>
        <w:t xml:space="preserve"> `</w:t>
      </w:r>
      <w:r>
        <w:br/>
      </w:r>
      <w:r>
        <w:rPr>
          <w:rStyle w:val="NormalTok"/>
        </w:rPr>
        <w:t xml:space="preserve">  </w:t>
      </w:r>
      <w:r>
        <w:rPr>
          <w:rStyle w:val="OperatorTok"/>
        </w:rPr>
        <w:t xml:space="preserve">-</w:t>
      </w:r>
      <w:r>
        <w:rPr>
          <w:rStyle w:val="NormalTok"/>
        </w:rPr>
        <w:t xml:space="preserve">ParentId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"Privacy Act records. Authority: 5 U.S.C. 552a."</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Publish the label policy to all users</w:t>
      </w:r>
      <w:r>
        <w:br/>
      </w:r>
      <w:r>
        <w:rPr>
          <w:rStyle w:val="NormalTok"/>
        </w:rPr>
        <w:t xml:space="preserve">New-LabelPolicy `</w:t>
      </w:r>
      <w:r>
        <w:br/>
      </w:r>
      <w:r>
        <w:rPr>
          <w:rStyle w:val="NormalTok"/>
        </w:rPr>
        <w:t xml:space="preserve">  </w:t>
      </w:r>
      <w:r>
        <w:rPr>
          <w:rStyle w:val="OperatorTok"/>
        </w:rPr>
        <w:t xml:space="preserve">-</w:t>
      </w:r>
      <w:r>
        <w:rPr>
          <w:rStyle w:val="NormalTok"/>
        </w:rPr>
        <w:t xml:space="preserve">Name </w:t>
      </w:r>
      <w:r>
        <w:rPr>
          <w:rStyle w:val="StringTok"/>
        </w:rPr>
        <w:t xml:space="preserve">"Agency-CUI-LabelPolicy"</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"Public"</w:t>
      </w:r>
      <w:r>
        <w:rPr>
          <w:rStyle w:val="OperatorTok"/>
        </w:rPr>
        <w:t xml:space="preserve">,</w:t>
      </w:r>
      <w:r>
        <w:rPr>
          <w:rStyle w:val="StringTok"/>
        </w:rPr>
        <w:t xml:space="preserve">"Internal"</w:t>
      </w:r>
      <w:r>
        <w:rPr>
          <w:rStyle w:val="OperatorTok"/>
        </w:rPr>
        <w:t xml:space="preserve">,</w:t>
      </w:r>
      <w:r>
        <w:rPr>
          <w:rStyle w:val="StringTok"/>
        </w:rPr>
        <w:t xml:space="preserve">"CUI-Basic"</w:t>
      </w:r>
      <w:r>
        <w:rPr>
          <w:rStyle w:val="OperatorTok"/>
        </w:rPr>
        <w:t xml:space="preserve">,</w:t>
      </w:r>
      <w:r>
        <w:rPr>
          <w:rStyle w:val="StringTok"/>
        </w:rPr>
        <w:t xml:space="preserve">"CUI-Specified"</w:t>
      </w:r>
      <w:r>
        <w:rPr>
          <w:rStyle w:val="OperatorTok"/>
        </w:rPr>
        <w:t xml:space="preserve">,</w:t>
      </w:r>
      <w:r>
        <w:rPr>
          <w:rStyle w:val="StringTok"/>
        </w:rPr>
        <w:t xml:space="preserve">"CUI-SP-PrivacyAct"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TeamsLocation All</w:t>
      </w:r>
    </w:p>
    <w:p>
      <w:pPr>
        <w:pStyle w:val="FirstParagraph"/>
      </w:pPr>
      <w:r>
        <w:rPr>
          <w:b/>
          <w:bCs/>
        </w:rPr>
        <w:t xml:space="preserve">Label Policy Scope</w:t>
      </w:r>
      <w:r>
        <w:t xml:space="preserve"> </w:t>
      </w:r>
      <w:r>
        <w:t xml:space="preserve">— Publishing labels to all locations (Exchange, SharePoint, OneDrive, Teams) is required for consistent enforcement. A label published only to Exchange will appear in Outlook but not in the SharePoint label picker, causing inconsistent classification behavior. Publish to all locations from the initial deployment.</w:t>
      </w:r>
    </w:p>
    <w:bookmarkEnd w:id="144"/>
    <w:bookmarkEnd w:id="145"/>
    <w:bookmarkStart w:id="150" w:name="automatic-labeling"/>
    <w:p>
      <w:pPr>
        <w:pStyle w:val="Heading1"/>
      </w:pPr>
      <w:r>
        <w:t xml:space="preserve">Automatic Labeling</w:t>
      </w:r>
    </w:p>
    <w:bookmarkStart w:id="146" w:name="X4ed78d13f05d69863761ea44882755b3879bb34"/>
    <w:p>
      <w:pPr>
        <w:pStyle w:val="Heading2"/>
      </w:pPr>
      <w:r>
        <w:t xml:space="preserve">The Labeling Gap in Manual Classification</w:t>
      </w:r>
    </w:p>
    <w:p>
      <w:pPr>
        <w:pStyle w:val="FirstParagraph"/>
      </w:pPr>
      <w:r>
        <w:t xml:space="preserve">Manual labeling places the classification decision on the document author. Authors apply labels correctly when the data is obviously sensitive — a document titled</w:t>
      </w:r>
      <w:r>
        <w:t xml:space="preserve"> </w:t>
      </w:r>
      <w:r>
        <w:t xml:space="preserve">“Privacy Act Record”</w:t>
      </w:r>
      <w:r>
        <w:t xml:space="preserve"> </w:t>
      </w:r>
      <w:r>
        <w:t xml:space="preserve">is likely to be labeled correctly. Authors fail to apply labels consistently when the sensitivity is less obvious: a spreadsheet containing SSNs extracted for a workflow task, a slide deck containing internal budget projections, or a Teams message containing an EIN sent in the context of a routine inquiry.</w:t>
      </w:r>
    </w:p>
    <w:p>
      <w:pPr>
        <w:pStyle w:val="BodyText"/>
      </w:pPr>
      <w:r>
        <w:t xml:space="preserve">The result is a label corpus that covers intentionally sensitive documents but misses the routine data handling that constitutes the majority of actual CUI exposure. Automatic labeling addresses this by applying classification based on content inspection, independent of whether the author recognizes the document as sensitive.</w:t>
      </w:r>
    </w:p>
    <w:bookmarkEnd w:id="146"/>
    <w:bookmarkStart w:id="147" w:name="sensitive-information-types"/>
    <w:p>
      <w:pPr>
        <w:pStyle w:val="Heading2"/>
      </w:pPr>
      <w:r>
        <w:t xml:space="preserve">Sensitive Information Types</w:t>
      </w:r>
    </w:p>
    <w:p>
      <w:pPr>
        <w:pStyle w:val="FirstParagraph"/>
      </w:pPr>
      <w:r>
        <w:t xml:space="preserve">Purview Sensitive Information Types (SITs) are pattern-matching classifiers that detect specific data patterns in document content. The Microsoft 365 service maintains a library of pre-built SITs that cover common federal data categories.</w:t>
      </w:r>
    </w:p>
    <w:p>
      <w:pPr>
        <w:pStyle w:val="TableCaption"/>
      </w:pPr>
      <w:r>
        <w:t xml:space="preserve">Pre-built Sensitive Information Types relevant to federal environments</w:t>
      </w:r>
    </w:p>
    <w:tbl>
      <w:tblPr>
        <w:tblStyle w:val="Table"/>
        <w:tblW w:type="pct" w:w="5000"/>
        <w:tblLayout w:type="fixed"/>
        <w:tblLook w:firstRow="1" w:lastRow="0" w:firstColumn="0" w:lastColumn="0" w:noHBand="0" w:noVBand="0" w:val="0020"/>
        <w:tblCaption w:val="Pre-built Sensitive Information Types relevant to federal environments"/>
      </w:tblPr>
      <w:tblGrid>
        <w:gridCol w:w="2640"/>
        <w:gridCol w:w="2640"/>
        <w:gridCol w:w="2640"/>
      </w:tblGrid>
      <w:tr>
        <w:trPr>
          <w:tblHeader w:val="on"/>
        </w:trPr>
        <w:tc>
          <w:tcPr/>
          <w:p>
            <w:pPr>
              <w:pStyle w:val="Compact"/>
            </w:pPr>
            <w:r>
              <w:t xml:space="preserve">SIT Name</w:t>
            </w:r>
          </w:p>
        </w:tc>
        <w:tc>
          <w:tcPr/>
          <w:p>
            <w:pPr>
              <w:pStyle w:val="Compact"/>
            </w:pPr>
            <w:r>
              <w:t xml:space="preserve">Pattern</w:t>
            </w:r>
          </w:p>
        </w:tc>
        <w:tc>
          <w:tcPr/>
          <w:p>
            <w:pPr>
              <w:pStyle w:val="Compact"/>
            </w:pPr>
            <w:r>
              <w:t xml:space="preserve">NIST Control Relevance</w:t>
            </w:r>
          </w:p>
        </w:tc>
      </w:tr>
      <w:tr>
        <w:tc>
          <w:tcPr/>
          <w:p>
            <w:pPr>
              <w:pStyle w:val="Compact"/>
            </w:pPr>
            <w:r>
              <w:t xml:space="preserve">U.S. Social Security Number</w:t>
            </w:r>
          </w:p>
        </w:tc>
        <w:tc>
          <w:tcPr/>
          <w:p>
            <w:pPr>
              <w:pStyle w:val="Compact"/>
            </w:pPr>
            <w:r>
              <w:t xml:space="preserve">XXX-XX-XXXX with confidence</w:t>
            </w:r>
          </w:p>
        </w:tc>
        <w:tc>
          <w:tcPr/>
          <w:p>
            <w:pPr>
              <w:pStyle w:val="Compact"/>
            </w:pPr>
            <w:r>
              <w:t xml:space="preserve">MP-4, MP-5, CUI-SP-PRVCY</w:t>
            </w:r>
          </w:p>
        </w:tc>
      </w:tr>
      <w:tr>
        <w:tc>
          <w:tcPr/>
          <w:p>
            <w:pPr>
              <w:pStyle w:val="Compact"/>
            </w:pPr>
            <w:r>
              <w:t xml:space="preserve">U.S. Individual Taxpayer Identification Number</w:t>
            </w:r>
          </w:p>
        </w:tc>
        <w:tc>
          <w:tcPr/>
          <w:p>
            <w:pPr>
              <w:pStyle w:val="Compact"/>
            </w:pPr>
            <w:r>
              <w:t xml:space="preserve">9XX-XX-XXXX with IRS context</w:t>
            </w:r>
          </w:p>
        </w:tc>
        <w:tc>
          <w:tcPr/>
          <w:p>
            <w:pPr>
              <w:pStyle w:val="Compact"/>
            </w:pPr>
            <w:r>
              <w:t xml:space="preserve">SC-28, CUI-SP-TAX</w:t>
            </w:r>
          </w:p>
        </w:tc>
      </w:tr>
      <w:tr>
        <w:tc>
          <w:tcPr/>
          <w:p>
            <w:pPr>
              <w:pStyle w:val="Compact"/>
            </w:pPr>
            <w:r>
              <w:t xml:space="preserve">U.S. Employer Identification Number</w:t>
            </w:r>
          </w:p>
        </w:tc>
        <w:tc>
          <w:tcPr/>
          <w:p>
            <w:pPr>
              <w:pStyle w:val="Compact"/>
            </w:pPr>
            <w:r>
              <w:t xml:space="preserve">XX-XXXXXXX with EIN keyword</w:t>
            </w:r>
          </w:p>
        </w:tc>
        <w:tc>
          <w:tcPr/>
          <w:p>
            <w:pPr>
              <w:pStyle w:val="Compact"/>
            </w:pPr>
            <w:r>
              <w:t xml:space="preserve">MP-4, SC-13</w:t>
            </w:r>
          </w:p>
        </w:tc>
      </w:tr>
      <w:tr>
        <w:tc>
          <w:tcPr/>
          <w:p>
            <w:pPr>
              <w:pStyle w:val="Compact"/>
            </w:pPr>
            <w:r>
              <w:t xml:space="preserve">U.S. Bank Account Number</w:t>
            </w:r>
          </w:p>
        </w:tc>
        <w:tc>
          <w:tcPr/>
          <w:p>
            <w:pPr>
              <w:pStyle w:val="Compact"/>
            </w:pPr>
            <w:r>
              <w:t xml:space="preserve">ABA routing + account pair</w:t>
            </w:r>
          </w:p>
        </w:tc>
        <w:tc>
          <w:tcPr/>
          <w:p>
            <w:pPr>
              <w:pStyle w:val="Compact"/>
            </w:pPr>
            <w:r>
              <w:t xml:space="preserve">MP-5</w:t>
            </w:r>
          </w:p>
        </w:tc>
      </w:tr>
      <w:tr>
        <w:tc>
          <w:tcPr/>
          <w:p>
            <w:pPr>
              <w:pStyle w:val="Compact"/>
            </w:pPr>
            <w:r>
              <w:t xml:space="preserve">Drug Enforcement Administration Number</w:t>
            </w:r>
          </w:p>
        </w:tc>
        <w:tc>
          <w:tcPr/>
          <w:p>
            <w:pPr>
              <w:pStyle w:val="Compact"/>
            </w:pPr>
            <w:r>
              <w:t xml:space="preserve">DEA format with drug context</w:t>
            </w:r>
          </w:p>
        </w:tc>
        <w:tc>
          <w:tcPr/>
          <w:p>
            <w:pPr>
              <w:pStyle w:val="Compact"/>
            </w:pPr>
            <w:r>
              <w:t xml:space="preserve">CUI-SP-LES</w:t>
            </w:r>
          </w:p>
        </w:tc>
      </w:tr>
      <w:tr>
        <w:tc>
          <w:tcPr/>
          <w:p>
            <w:pPr>
              <w:pStyle w:val="Compact"/>
            </w:pPr>
            <w:r>
              <w:t xml:space="preserve">U.S. Passport Number</w:t>
            </w:r>
          </w:p>
        </w:tc>
        <w:tc>
          <w:tcPr/>
          <w:p>
            <w:pPr>
              <w:pStyle w:val="Compact"/>
            </w:pPr>
            <w:r>
              <w:t xml:space="preserve">Format + issuing country</w:t>
            </w:r>
          </w:p>
        </w:tc>
        <w:tc>
          <w:tcPr/>
          <w:p>
            <w:pPr>
              <w:pStyle w:val="Compact"/>
            </w:pPr>
            <w:r>
              <w:t xml:space="preserve">CUI-SP-PRVCY</w:t>
            </w:r>
          </w:p>
        </w:tc>
      </w:tr>
      <w:tr>
        <w:tc>
          <w:tcPr/>
          <w:p>
            <w:pPr>
              <w:pStyle w:val="Compact"/>
            </w:pPr>
            <w:r>
              <w:t xml:space="preserve">IP address</w:t>
            </w:r>
          </w:p>
        </w:tc>
        <w:tc>
          <w:tcPr/>
          <w:p>
            <w:pPr>
              <w:pStyle w:val="Compact"/>
            </w:pPr>
            <w:r>
              <w:t xml:space="preserve">IPv4 or IPv6 in technical context</w:t>
            </w:r>
          </w:p>
        </w:tc>
        <w:tc>
          <w:tcPr/>
          <w:p>
            <w:pPr>
              <w:pStyle w:val="Compact"/>
            </w:pPr>
            <w:r>
              <w:t xml:space="preserve">Internal</w:t>
            </w:r>
          </w:p>
        </w:tc>
      </w:tr>
    </w:tbl>
    <w:p>
      <w:pPr>
        <w:pStyle w:val="BodyText"/>
      </w:pPr>
      <w:r>
        <w:t xml:space="preserve">For agency-specific identifiers — employee numbers, case identifiers, benefit claim numbers — a custom SIT is required.</w:t>
      </w:r>
    </w:p>
    <w:p>
      <w:pPr>
        <w:pStyle w:val="SourceCode"/>
      </w:pPr>
      <w:r>
        <w:rPr>
          <w:rStyle w:val="CommentTok"/>
        </w:rPr>
        <w:t xml:space="preserve"># Create a custom SIT for agency employee identifiers (pattern: EMPXXXXXXX)</w:t>
      </w:r>
      <w:r>
        <w:br/>
      </w:r>
      <w:r>
        <w:rPr>
          <w:rStyle w:val="VariableTok"/>
        </w:rPr>
        <w:t xml:space="preserve">$customSIT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StringTok"/>
        </w:rPr>
        <w:t xml:space="preserve">"Agency-EmployeeID"</w:t>
      </w:r>
      <w:r>
        <w:br/>
      </w:r>
      <w:r>
        <w:rPr>
          <w:rStyle w:val="NormalTok"/>
        </w:rPr>
        <w:t xml:space="preserve">  Description </w:t>
      </w:r>
      <w:r>
        <w:rPr>
          <w:rStyle w:val="OperatorTok"/>
        </w:rPr>
        <w:t xml:space="preserve">=</w:t>
      </w:r>
      <w:r>
        <w:rPr>
          <w:rStyle w:val="NormalTok"/>
        </w:rPr>
        <w:t xml:space="preserve"> </w:t>
      </w:r>
      <w:r>
        <w:rPr>
          <w:rStyle w:val="StringTok"/>
        </w:rPr>
        <w:t xml:space="preserve">"Agency employee identifier in format EMP followed by 9 digits"</w:t>
      </w:r>
      <w:r>
        <w:br/>
      </w:r>
      <w:r>
        <w:rPr>
          <w:rStyle w:val="NormalTok"/>
        </w:rPr>
        <w:t xml:space="preserve">  RulePackage </w:t>
      </w:r>
      <w:r>
        <w:rPr>
          <w:rStyle w:val="OperatorTok"/>
        </w:rPr>
        <w:t xml:space="preserve">=</w:t>
      </w:r>
      <w:r>
        <w:rPr>
          <w:rStyle w:val="NormalTok"/>
        </w:rPr>
        <w:t xml:space="preserve"> @</w:t>
      </w:r>
      <w:r>
        <w:rPr>
          <w:rStyle w:val="OperatorTok"/>
        </w:rPr>
        <w:t xml:space="preserve">{</w:t>
      </w:r>
      <w:r>
        <w:br/>
      </w:r>
      <w:r>
        <w:rPr>
          <w:rStyle w:val="NormalTok"/>
        </w:rPr>
        <w:t xml:space="preserve">    RulePack </w:t>
      </w:r>
      <w:r>
        <w:rPr>
          <w:rStyle w:val="OperatorTok"/>
        </w:rPr>
        <w:t xml:space="preserve">=</w:t>
      </w:r>
      <w:r>
        <w:rPr>
          <w:rStyle w:val="NormalTok"/>
        </w:rPr>
        <w:t xml:space="preserve"> @</w:t>
      </w:r>
      <w:r>
        <w:rPr>
          <w:rStyle w:val="OperatorTok"/>
        </w:rPr>
        <w:t xml:space="preserve">{</w:t>
      </w:r>
      <w:r>
        <w:br/>
      </w:r>
      <w:r>
        <w:rPr>
          <w:rStyle w:val="NormalTok"/>
        </w:rPr>
        <w:t xml:space="preserve">      Version    </w:t>
      </w:r>
      <w:r>
        <w:rPr>
          <w:rStyle w:val="OperatorTok"/>
        </w:rPr>
        <w:t xml:space="preserve">=</w:t>
      </w:r>
      <w:r>
        <w:rPr>
          <w:rStyle w:val="NormalTok"/>
        </w:rPr>
        <w:t xml:space="preserve"> </w:t>
      </w:r>
      <w:r>
        <w:rPr>
          <w:rStyle w:val="StringTok"/>
        </w:rPr>
        <w:t xml:space="preserve">"1.0"</w:t>
      </w:r>
      <w:r>
        <w:br/>
      </w:r>
      <w:r>
        <w:rPr>
          <w:rStyle w:val="NormalTok"/>
        </w:rPr>
        <w:t xml:space="preserve">      Publisher  </w:t>
      </w:r>
      <w:r>
        <w:rPr>
          <w:rStyle w:val="OperatorTok"/>
        </w:rPr>
        <w:t xml:space="preserve">=</w:t>
      </w:r>
      <w:r>
        <w:rPr>
          <w:rStyle w:val="NormalTok"/>
        </w:rPr>
        <w:t xml:space="preserve"> </w:t>
      </w:r>
      <w:r>
        <w:rPr>
          <w:rStyle w:val="StringTok"/>
        </w:rPr>
        <w:t xml:space="preserve">"Agency Cloud Services"</w:t>
      </w:r>
      <w:r>
        <w:br/>
      </w:r>
      <w:r>
        <w:rPr>
          <w:rStyle w:val="NormalTok"/>
        </w:rPr>
        <w:t xml:space="preserve">      RulePackId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LocalizedStrings </w:t>
      </w:r>
      <w:r>
        <w:rPr>
          <w:rStyle w:val="OperatorTok"/>
        </w:rPr>
        <w:t xml:space="preserve">=</w:t>
      </w:r>
      <w:r>
        <w:rPr>
          <w:rStyle w:val="NormalTok"/>
        </w:rPr>
        <w:t xml:space="preserve"> @</w:t>
      </w:r>
      <w:r>
        <w:rPr>
          <w:rStyle w:val="OperatorTok"/>
        </w:rPr>
        <w:t xml:space="preserve">{</w:t>
      </w:r>
      <w:r>
        <w:br/>
      </w:r>
      <w:r>
        <w:rPr>
          <w:rStyle w:val="NormalTok"/>
        </w:rPr>
        <w:t xml:space="preserve">        Resource </w:t>
      </w:r>
      <w:r>
        <w:rPr>
          <w:rStyle w:val="OperatorTok"/>
        </w:rPr>
        <w:t xml:space="preserve">=</w:t>
      </w:r>
      <w:r>
        <w:rPr>
          <w:rStyle w:val="NormalTok"/>
        </w:rPr>
        <w:t xml:space="preserve"> @</w:t>
      </w:r>
      <w:r>
        <w:rPr>
          <w:rStyle w:val="OperatorTok"/>
        </w:rPr>
        <w:t xml:space="preserve">{</w:t>
      </w:r>
      <w:r>
        <w:br/>
      </w:r>
      <w:r>
        <w:rPr>
          <w:rStyle w:val="NormalTok"/>
        </w:rPr>
        <w:t xml:space="preserve">          idRef </w:t>
      </w:r>
      <w:r>
        <w:rPr>
          <w:rStyle w:val="OperatorTok"/>
        </w:rPr>
        <w:t xml:space="preserve">=</w:t>
      </w:r>
      <w:r>
        <w:rPr>
          <w:rStyle w:val="NormalTok"/>
        </w:rPr>
        <w:t xml:space="preserve"> </w:t>
      </w:r>
      <w:r>
        <w:rPr>
          <w:rStyle w:val="StringTok"/>
        </w:rPr>
        <w:t xml:space="preserve">"Agency-EmployeeID-idRef"</w:t>
      </w:r>
      <w:r>
        <w:br/>
      </w:r>
      <w:r>
        <w:rPr>
          <w:rStyle w:val="NormalTok"/>
        </w:rPr>
        <w:t xml:space="preserve">          Name  </w:t>
      </w:r>
      <w:r>
        <w:rPr>
          <w:rStyle w:val="OperatorTok"/>
        </w:rPr>
        <w:t xml:space="preserve">=</w:t>
      </w:r>
      <w:r>
        <w:rPr>
          <w:rStyle w:val="NormalTok"/>
        </w:rPr>
        <w:t xml:space="preserve"> </w:t>
      </w:r>
      <w:r>
        <w:rPr>
          <w:rStyle w:val="StringTok"/>
        </w:rPr>
        <w:t xml:space="preserve">"Agency Employee Identifier"</w:t>
      </w:r>
      <w:r>
        <w:br/>
      </w:r>
      <w:r>
        <w:rPr>
          <w:rStyle w:val="NormalTok"/>
        </w:rPr>
        <w:t xml:space="preserve">          Description </w:t>
      </w:r>
      <w:r>
        <w:rPr>
          <w:rStyle w:val="OperatorTok"/>
        </w:rPr>
        <w:t xml:space="preserve">=</w:t>
      </w:r>
      <w:r>
        <w:rPr>
          <w:rStyle w:val="NormalTok"/>
        </w:rPr>
        <w:t xml:space="preserve"> </w:t>
      </w:r>
      <w:r>
        <w:rPr>
          <w:rStyle w:val="StringTok"/>
        </w:rPr>
        <w:t xml:space="preserve">"Matches EMP followed by exactly 9 digits"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Rules </w:t>
      </w:r>
      <w:r>
        <w:rPr>
          <w:rStyle w:val="OperatorTok"/>
        </w:rPr>
        <w:t xml:space="preserve">=</w:t>
      </w:r>
      <w:r>
        <w:rPr>
          <w:rStyle w:val="NormalTok"/>
        </w:rPr>
        <w:t xml:space="preserve"> @</w:t>
      </w:r>
      <w:r>
        <w:rPr>
          <w:rStyle w:val="OperatorTok"/>
        </w:rPr>
        <w:t xml:space="preserve">{</w:t>
      </w:r>
      <w:r>
        <w:br/>
      </w:r>
      <w:r>
        <w:rPr>
          <w:rStyle w:val="NormalTok"/>
        </w:rPr>
        <w:t xml:space="preserve">      Entity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patternsProximity </w:t>
      </w:r>
      <w:r>
        <w:rPr>
          <w:rStyle w:val="OperatorTok"/>
        </w:rPr>
        <w:t xml:space="preserve">=</w:t>
      </w:r>
      <w:r>
        <w:rPr>
          <w:rStyle w:val="NormalTok"/>
        </w:rPr>
        <w:t xml:space="preserve"> </w:t>
      </w:r>
      <w:r>
        <w:rPr>
          <w:rStyle w:val="DecValTok"/>
        </w:rPr>
        <w:t xml:space="preserve">300</w:t>
      </w:r>
      <w:r>
        <w:br/>
      </w:r>
      <w:r>
        <w:rPr>
          <w:rStyle w:val="NormalTok"/>
        </w:rPr>
        <w:t xml:space="preserve">        recommendedConfidence </w:t>
      </w:r>
      <w:r>
        <w:rPr>
          <w:rStyle w:val="OperatorTok"/>
        </w:rPr>
        <w:t xml:space="preserve">=</w:t>
      </w:r>
      <w:r>
        <w:rPr>
          <w:rStyle w:val="NormalTok"/>
        </w:rPr>
        <w:t xml:space="preserve"> </w:t>
      </w:r>
      <w:r>
        <w:rPr>
          <w:rStyle w:val="DecValTok"/>
        </w:rPr>
        <w:t xml:space="preserve">75</w:t>
      </w:r>
      <w:r>
        <w:br/>
      </w:r>
      <w:r>
        <w:rPr>
          <w:rStyle w:val="NormalTok"/>
        </w:rPr>
        <w:t xml:space="preserve">        Pattern </w:t>
      </w:r>
      <w:r>
        <w:rPr>
          <w:rStyle w:val="OperatorTok"/>
        </w:rPr>
        <w:t xml:space="preserve">=</w:t>
      </w:r>
      <w:r>
        <w:rPr>
          <w:rStyle w:val="NormalTok"/>
        </w:rPr>
        <w:t xml:space="preserve"> @</w:t>
      </w:r>
      <w:r>
        <w:rPr>
          <w:rStyle w:val="OperatorTok"/>
        </w:rPr>
        <w:t xml:space="preserve">{</w:t>
      </w:r>
      <w:r>
        <w:br/>
      </w:r>
      <w:r>
        <w:rPr>
          <w:rStyle w:val="NormalTok"/>
        </w:rPr>
        <w:t xml:space="preserve">          confidenceLevel </w:t>
      </w:r>
      <w:r>
        <w:rPr>
          <w:rStyle w:val="OperatorTok"/>
        </w:rPr>
        <w:t xml:space="preserve">=</w:t>
      </w:r>
      <w:r>
        <w:rPr>
          <w:rStyle w:val="NormalTok"/>
        </w:rPr>
        <w:t xml:space="preserve"> </w:t>
      </w:r>
      <w:r>
        <w:rPr>
          <w:rStyle w:val="DecValTok"/>
        </w:rPr>
        <w:t xml:space="preserve">75</w:t>
      </w:r>
      <w:r>
        <w:br/>
      </w:r>
      <w:r>
        <w:rPr>
          <w:rStyle w:val="NormalTok"/>
        </w:rPr>
        <w:t xml:space="preserve">          IdMatch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"Regex_AgencyEmployeeID"</w:t>
      </w:r>
      <w:r>
        <w:rPr>
          <w:rStyle w:val="NormalTok"/>
        </w:rPr>
        <w:t xml:space="preserve"> </w:t>
      </w:r>
      <w:r>
        <w:rPr>
          <w:rStyle w:val="OperatorTok"/>
        </w:rPr>
        <w:t xml:space="preserve">}</w:t>
      </w:r>
      <w:r>
        <w:br/>
      </w:r>
      <w:r>
        <w:rPr>
          <w:rStyle w:val="NormalTok"/>
        </w:rPr>
        <w:t xml:space="preserve">          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"Keyword_AgencyEmployee"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Regex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"Regex_AgencyEmployeeID"</w:t>
      </w:r>
      <w:r>
        <w:br/>
      </w:r>
      <w:r>
        <w:rPr>
          <w:rStyle w:val="NormalTok"/>
        </w:rPr>
        <w:t xml:space="preserve">        value </w:t>
      </w:r>
      <w:r>
        <w:rPr>
          <w:rStyle w:val="OperatorTok"/>
        </w:rPr>
        <w:t xml:space="preserve">=</w:t>
      </w:r>
      <w:r>
        <w:rPr>
          <w:rStyle w:val="NormalTok"/>
        </w:rPr>
        <w:t xml:space="preserve"> </w:t>
      </w:r>
      <w:r>
        <w:rPr>
          <w:rStyle w:val="StringTok"/>
        </w:rPr>
        <w:t xml:space="preserve">"\bEMP\d{9}\b"</w:t>
      </w:r>
      <w:r>
        <w:br/>
      </w:r>
      <w:r>
        <w:rPr>
          <w:rStyle w:val="NormalTok"/>
        </w:rPr>
        <w:t xml:space="preserve">      </w:t>
      </w:r>
      <w:r>
        <w:rPr>
          <w:rStyle w:val="OperatorTok"/>
        </w:rPr>
        <w:t xml:space="preserve">}</w:t>
      </w:r>
      <w:r>
        <w:br/>
      </w:r>
      <w:r>
        <w:rPr>
          <w:rStyle w:val="NormalTok"/>
        </w:rPr>
        <w:t xml:space="preserve">      Keyword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"Keyword_AgencyEmployee"</w:t>
      </w:r>
      <w:r>
        <w:br/>
      </w:r>
      <w:r>
        <w:rPr>
          <w:rStyle w:val="NormalTok"/>
        </w:rPr>
        <w:t xml:space="preserve">        </w:t>
      </w:r>
      <w:r>
        <w:rPr>
          <w:rStyle w:val="FunctionTok"/>
        </w:rPr>
        <w:t xml:space="preserve">Group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matchStyle </w:t>
      </w:r>
      <w:r>
        <w:rPr>
          <w:rStyle w:val="OperatorTok"/>
        </w:rPr>
        <w:t xml:space="preserve">=</w:t>
      </w:r>
      <w:r>
        <w:rPr>
          <w:rStyle w:val="NormalTok"/>
        </w:rPr>
        <w:t xml:space="preserve"> </w:t>
      </w:r>
      <w:r>
        <w:rPr>
          <w:rStyle w:val="StringTok"/>
        </w:rPr>
        <w:t xml:space="preserve">"word"</w:t>
      </w:r>
      <w:r>
        <w:br/>
      </w:r>
      <w:r>
        <w:rPr>
          <w:rStyle w:val="NormalTok"/>
        </w:rPr>
        <w:t xml:space="preserve">          Term       </w:t>
      </w:r>
      <w:r>
        <w:rPr>
          <w:rStyle w:val="OperatorTok"/>
        </w:rPr>
        <w:t xml:space="preserve">=</w:t>
      </w:r>
      <w:r>
        <w:rPr>
          <w:rStyle w:val="NormalTok"/>
        </w:rPr>
        <w:t xml:space="preserve"> </w:t>
      </w:r>
      <w:r>
        <w:rPr>
          <w:rStyle w:val="OperatorTok"/>
        </w:rPr>
        <w:t xml:space="preserve">@(</w:t>
      </w:r>
      <w:r>
        <w:rPr>
          <w:rStyle w:val="StringTok"/>
        </w:rPr>
        <w:t xml:space="preserve">"employee"</w:t>
      </w:r>
      <w:r>
        <w:rPr>
          <w:rStyle w:val="OperatorTok"/>
        </w:rPr>
        <w:t xml:space="preserve">,</w:t>
      </w:r>
      <w:r>
        <w:rPr>
          <w:rStyle w:val="StringTok"/>
        </w:rPr>
        <w:t xml:space="preserve">"emp id"</w:t>
      </w:r>
      <w:r>
        <w:rPr>
          <w:rStyle w:val="OperatorTok"/>
        </w:rPr>
        <w:t xml:space="preserve">,</w:t>
      </w:r>
      <w:r>
        <w:rPr>
          <w:rStyle w:val="StringTok"/>
        </w:rPr>
        <w:t xml:space="preserve">"staff id"</w:t>
      </w:r>
      <w:r>
        <w:rPr>
          <w:rStyle w:val="OperatorTok"/>
        </w:rPr>
        <w:t xml:space="preserve">,</w:t>
      </w:r>
      <w:r>
        <w:rPr>
          <w:rStyle w:val="StringTok"/>
        </w:rPr>
        <w:t xml:space="preserve">"agency id"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New-DlpSensitiveInformationType `</w:t>
      </w:r>
      <w:r>
        <w:br/>
      </w:r>
      <w:r>
        <w:rPr>
          <w:rStyle w:val="NormalTok"/>
        </w:rPr>
        <w:t xml:space="preserve">  </w:t>
      </w:r>
      <w:r>
        <w:rPr>
          <w:rStyle w:val="OperatorTok"/>
        </w:rPr>
        <w:t xml:space="preserve">-</w:t>
      </w:r>
      <w:r>
        <w:rPr>
          <w:rStyle w:val="NormalTok"/>
        </w:rPr>
        <w:t xml:space="preserve">Name </w:t>
      </w:r>
      <w:r>
        <w:rPr>
          <w:rStyle w:val="StringTok"/>
        </w:rPr>
        <w:t xml:space="preserve">"Agency-EmployeeID"</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"Agency employee identifier (EMP + 9 digits)"</w:t>
      </w:r>
      <w:r>
        <w:rPr>
          <w:rStyle w:val="NormalTok"/>
        </w:rPr>
        <w:t xml:space="preserve"> `</w:t>
      </w:r>
      <w:r>
        <w:br/>
      </w:r>
      <w:r>
        <w:rPr>
          <w:rStyle w:val="NormalTok"/>
        </w:rPr>
        <w:t xml:space="preserve">  </w:t>
      </w:r>
      <w:r>
        <w:rPr>
          <w:rStyle w:val="OperatorTok"/>
        </w:rPr>
        <w:t xml:space="preserve">-</w:t>
      </w:r>
      <w:r>
        <w:rPr>
          <w:rStyle w:val="NormalTok"/>
        </w:rPr>
        <w:t xml:space="preserve">FileData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FunctionTok"/>
        </w:rPr>
        <w:t xml:space="preserve">ConvertTo-Json</w:t>
      </w:r>
      <w:r>
        <w:rPr>
          <w:rStyle w:val="NormalTok"/>
        </w:rPr>
        <w:t xml:space="preserve"> </w:t>
      </w:r>
      <w:r>
        <w:rPr>
          <w:rStyle w:val="VariableTok"/>
        </w:rPr>
        <w:t xml:space="preserve">$customSIT</w:t>
      </w:r>
      <w:r>
        <w:rPr>
          <w:rStyle w:val="OperatorTok"/>
        </w:rPr>
        <w:t xml:space="preserve">)))</w:t>
      </w:r>
    </w:p>
    <w:bookmarkEnd w:id="147"/>
    <w:bookmarkStart w:id="148" w:name="trainable-classifiers"/>
    <w:p>
      <w:pPr>
        <w:pStyle w:val="Heading2"/>
      </w:pPr>
      <w:r>
        <w:t xml:space="preserve">Trainable Classifiers</w:t>
      </w:r>
    </w:p>
    <w:p>
      <w:pPr>
        <w:pStyle w:val="FirstParagraph"/>
      </w:pPr>
      <w:r>
        <w:t xml:space="preserve">For document categories that do not match a pattern — internal policy documents, law enforcement case notes, budget working papers — Purview trainable classifiers provide ML-based classification. A trainable classifier is trained on a sample of positive and negative examples of a document category and then applied as an auto-labeling condition.</w:t>
      </w:r>
    </w:p>
    <w:p>
      <w:pPr>
        <w:pStyle w:val="BodyText"/>
      </w:pPr>
      <w:r>
        <w:t xml:space="preserve">Microsoft provides pre-trained classifiers for categories including: business financial statements, government documents, harassment, and legal affairs. Agency-specific categories require a custom trainable classifier trained on 50–500 sample documents.</w:t>
      </w:r>
    </w:p>
    <w:p>
      <w:pPr>
        <w:pStyle w:val="BodyText"/>
      </w:pPr>
      <w:r>
        <w:rPr>
          <w:b/>
          <w:bCs/>
        </w:rPr>
        <w:t xml:space="preserve">Trainable Classifier Training Data</w:t>
      </w:r>
      <w:r>
        <w:t xml:space="preserve"> </w:t>
      </w:r>
      <w:r>
        <w:t xml:space="preserve">— The sample documents used to train a custom classifier must be representative of the actual document population. If training samples are drawn from a subset of document types (for example, only formally formatted policy documents), the classifier will underperform on informal documents containing the same category of information. Plan for 3–4 weeks of training and validation before deploying a custom classifier to production auto-labeling.</w:t>
      </w:r>
    </w:p>
    <w:bookmarkEnd w:id="148"/>
    <w:bookmarkStart w:id="149" w:name="auto-labeling-policies"/>
    <w:p>
      <w:pPr>
        <w:pStyle w:val="Heading2"/>
      </w:pPr>
      <w:r>
        <w:t xml:space="preserve">Auto-Labeling Policies</w:t>
      </w:r>
    </w:p>
    <w:p>
      <w:pPr>
        <w:pStyle w:val="FirstParagraph"/>
      </w:pPr>
      <w:r>
        <w:t xml:space="preserve">Auto-labeling policies apply sensitivity labels to existing content (via the SharePoint scanner) and to new content as it is created or sent. There are two categories of auto-labeling policy:</w:t>
      </w:r>
    </w:p>
    <w:p>
      <w:pPr>
        <w:pStyle w:val="BodyText"/>
      </w:pPr>
      <w:r>
        <w:rPr>
          <w:b/>
          <w:bCs/>
        </w:rPr>
        <w:t xml:space="preserve">Service-side auto-labeling</w:t>
      </w:r>
      <w:r>
        <w:t xml:space="preserve"> </w:t>
      </w:r>
      <w:r>
        <w:t xml:space="preserve">applies labels to content at rest in SharePoint Online and OneDrive via a background scanner. The scanner crawls existing document libraries, identifies content matching the policy conditions, and applies the label. This is how CUI exposure in existing document libraries is addressed retroactively.</w:t>
      </w:r>
    </w:p>
    <w:p>
      <w:pPr>
        <w:pStyle w:val="BodyText"/>
      </w:pPr>
      <w:r>
        <w:rPr>
          <w:b/>
          <w:bCs/>
        </w:rPr>
        <w:t xml:space="preserve">Client-side auto-labeling</w:t>
      </w:r>
      <w:r>
        <w:t xml:space="preserve"> </w:t>
      </w:r>
      <w:r>
        <w:t xml:space="preserve">applies labels at creation or send time in Office applications and Exchange. In Exchange, the label is applied when the user sends a message that matches the policy conditions. The user sees a notification and can accept or override the suggested label. In Word, Excel, and PowerPoint, the label is suggested in the sensitivity label picker.</w:t>
      </w:r>
    </w:p>
    <w:p>
      <w:pPr>
        <w:pStyle w:val="SourceCode"/>
      </w:pPr>
      <w:r>
        <w:rPr>
          <w:rStyle w:val="CommentTok"/>
        </w:rPr>
        <w:t xml:space="preserve"># Create auto-labeling policy for SharePoint and OneDrive</w:t>
      </w:r>
      <w:r>
        <w:br/>
      </w:r>
      <w:r>
        <w:rPr>
          <w:rStyle w:val="CommentTok"/>
        </w:rPr>
        <w:t xml:space="preserve"># Applies CUI-Basic label to documents containing SSN or EIN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CUI-Basic in SharePoint and OneDrive"</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"TestWithoutNotifications"</w:t>
      </w:r>
      <w:r>
        <w:rPr>
          <w:rStyle w:val="NormalTok"/>
        </w:rPr>
        <w:t xml:space="preserve">  </w:t>
      </w:r>
      <w:r>
        <w:rPr>
          <w:rStyle w:val="CommentTok"/>
        </w:rPr>
        <w:t xml:space="preserve"># Start in simulation mode; switch to Enforce after review</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or EIN"</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Individual Taxpayer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Employer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Create auto-labeling policy for Exchange</w:t>
      </w:r>
      <w:r>
        <w:br/>
      </w:r>
      <w:r>
        <w:rPr>
          <w:rStyle w:val="CommentTok"/>
        </w:rPr>
        <w:t xml:space="preserve"># Suggests CUI-Specified/Privacy Act on outbound messages containing SSN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CUI-Specified in Exchange outbound"</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"TestWithNotifications"</w:t>
      </w:r>
      <w:r>
        <w:rPr>
          <w:rStyle w:val="NormalTok"/>
        </w:rPr>
        <w:t xml:space="preserve">  </w:t>
      </w:r>
      <w:r>
        <w:rPr>
          <w:rStyle w:val="CommentTok"/>
        </w:rPr>
        <w:t xml:space="preserve"># Notify users before enforcing</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outbound email"</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Switch policies to enforcement after simulation review</w:t>
      </w:r>
      <w:r>
        <w:br/>
      </w:r>
      <w:r>
        <w:rPr>
          <w:rStyle w:val="NormalTok"/>
        </w:rPr>
        <w:t xml:space="preserve">Set-AutoSensitivityLabelPolicy `</w:t>
      </w:r>
      <w:r>
        <w:br/>
      </w:r>
      <w:r>
        <w:rPr>
          <w:rStyle w:val="NormalTok"/>
        </w:rPr>
        <w:t xml:space="preserve">  </w:t>
      </w:r>
      <w:r>
        <w:rPr>
          <w:rStyle w:val="OperatorTok"/>
        </w:rPr>
        <w:t xml:space="preserve">-</w:t>
      </w:r>
      <w:r>
        <w:rPr>
          <w:rStyle w:val="NormalTok"/>
        </w:rPr>
        <w:t xml:space="preserve">Identity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Mode </w:t>
      </w:r>
      <w:r>
        <w:rPr>
          <w:rStyle w:val="StringTok"/>
        </w:rPr>
        <w:t xml:space="preserve">"Enable"</w:t>
      </w:r>
    </w:p>
    <w:p>
      <w:pPr>
        <w:pStyle w:val="FirstParagraph"/>
      </w:pPr>
      <w:r>
        <w:rPr>
          <w:b/>
          <w:bCs/>
        </w:rPr>
        <w:t xml:space="preserve">Simulation Mode First</w:t>
      </w:r>
      <w:r>
        <w:t xml:space="preserve"> </w:t>
      </w:r>
      <w:r>
        <w:t xml:space="preserve">— Always deploy auto-labeling policies in simulation mode before enabling enforcement. The simulation report shows which documents would be labeled and with what label, without modifying any content. Review the simulation output for false positives before switching to enforcement. A false-positive spike can trigger help desk calls at scale if a labeling policy applies CUI-Specified to routine internal documents.</w:t>
      </w:r>
    </w:p>
    <w:bookmarkEnd w:id="149"/>
    <w:bookmarkEnd w:id="150"/>
    <w:bookmarkStart w:id="154" w:name="dlp-policy-architecture"/>
    <w:p>
      <w:pPr>
        <w:pStyle w:val="Heading1"/>
      </w:pPr>
      <w:r>
        <w:t xml:space="preserve">DLP Policy Architecture</w:t>
      </w:r>
    </w:p>
    <w:bookmarkStart w:id="151" w:name="three-enforcement-surfaces"/>
    <w:p>
      <w:pPr>
        <w:pStyle w:val="Heading2"/>
      </w:pPr>
      <w:r>
        <w:t xml:space="preserve">Three Enforcement Surfaces</w:t>
      </w:r>
    </w:p>
    <w:p>
      <w:pPr>
        <w:pStyle w:val="FirstParagraph"/>
      </w:pPr>
      <w:r>
        <w:t xml:space="preserve">Data Loss Prevention enforcement in a federal Microsoft 365 environment operates across three distinct surfaces. Each surface provides a different type of control at a different point in the data lifecycle.</w:t>
      </w:r>
    </w:p>
    <w:p>
      <w:pPr>
        <w:pStyle w:val="BodyText"/>
      </w:pPr>
      <w:r>
        <w:rPr>
          <w:b/>
          <w:bCs/>
        </w:rPr>
        <w:t xml:space="preserve">Microsoft 365 service-layer DLP</w:t>
      </w:r>
      <w:r>
        <w:t xml:space="preserve"> </w:t>
      </w:r>
      <w:r>
        <w:t xml:space="preserve">operates within the Microsoft 365 platform — SharePoint Online, OneDrive for Business, Exchange Online, and Teams. Service-layer DLP policies are evaluated server-side when content is created, shared, or sent through the Microsoft 365 service. A policy that blocks external sharing of CUI files is enforced by the SharePoint service before the external sharing invitation is sent. The user receives a policy tip; the share is blocked. This layer provides the broadest coverage because it operates regardless of the endpoint’s compliance state.</w:t>
      </w:r>
    </w:p>
    <w:p>
      <w:pPr>
        <w:pStyle w:val="BodyText"/>
      </w:pPr>
      <w:r>
        <w:rPr>
          <w:b/>
          <w:bCs/>
        </w:rPr>
        <w:t xml:space="preserve">Endpoint DLP</w:t>
      </w:r>
      <w:r>
        <w:t xml:space="preserve"> </w:t>
      </w:r>
      <w:r>
        <w:t xml:space="preserve">operates on Windows workstations via the Defender for Endpoint sensor. It extends enforcement to activities that bypass the service layer: printing a labeled document, copying content to the clipboard, transferring a labeled file to a USB device, or uploading a file to a browser-based application that is not a Microsoft 365 service. Endpoint DLP requires the device to be onboarded to Defender for Endpoint (established in Vol I Book 02 (Network Access Control: 802.1X) and Vol II Book 01 (SQL Server Authentication Modernization) of this series as a device-compliance and Conditional Access requirement).</w:t>
      </w:r>
    </w:p>
    <w:p>
      <w:pPr>
        <w:pStyle w:val="BodyText"/>
      </w:pPr>
      <w:r>
        <w:rPr>
          <w:b/>
          <w:bCs/>
        </w:rPr>
        <w:t xml:space="preserve">Network-layer enforcement via CASB</w:t>
      </w:r>
      <w:r>
        <w:t xml:space="preserve"> </w:t>
      </w:r>
      <w:r>
        <w:t xml:space="preserve">operates at the network boundary using the label metadata that the Purview service exposes to the CASB through the Microsoft Graph API. When a labeled file moves to a cloud destination, the CASB queries the file’s label and enforces the label-specific policy — for example, blocking upload of a CUI-Specified labeled file to a non-approved cloud storage service. This integration closes the gap identified in the classification gap section: the CASB now has payload signal from Purview.</w:t>
      </w:r>
    </w:p>
    <w:bookmarkEnd w:id="151"/>
    <w:bookmarkStart w:id="152" w:name="core-dlp-policies"/>
    <w:p>
      <w:pPr>
        <w:pStyle w:val="Heading2"/>
      </w:pPr>
      <w:r>
        <w:t xml:space="preserve">Core DLP Policies</w:t>
      </w:r>
    </w:p>
    <w:p>
      <w:pPr>
        <w:pStyle w:val="FirstParagraph"/>
      </w:pPr>
      <w:r>
        <w:t xml:space="preserve">The following policies form the minimum DLP baseline for a FedRAMP Moderate environment. Each policy is named with the enforcement surface, the label tier it protects, and the action it takes.</w:t>
      </w:r>
    </w:p>
    <w:p>
      <w:pPr>
        <w:pStyle w:val="TableCaption"/>
      </w:pPr>
      <w:r>
        <w:t xml:space="preserve">Core DLP policy baseline for FedRAMP Moderate</w:t>
      </w:r>
    </w:p>
    <w:tbl>
      <w:tblPr>
        <w:tblStyle w:val="Table"/>
        <w:tblW w:type="pct" w:w="5000"/>
        <w:tblLayout w:type="fixed"/>
        <w:tblLook w:firstRow="1" w:lastRow="0" w:firstColumn="0" w:lastColumn="0" w:noHBand="0" w:noVBand="0" w:val="0020"/>
        <w:tblCaption w:val="Core DLP policy baseline for FedRAMP Moderate"/>
      </w:tblPr>
      <w:tblGrid>
        <w:gridCol w:w="1980"/>
        <w:gridCol w:w="1980"/>
        <w:gridCol w:w="1980"/>
        <w:gridCol w:w="1980"/>
      </w:tblGrid>
      <w:tr>
        <w:trPr>
          <w:tblHeader w:val="on"/>
        </w:trPr>
        <w:tc>
          <w:tcPr/>
          <w:p>
            <w:pPr>
              <w:pStyle w:val="Compact"/>
            </w:pPr>
            <w:r>
              <w:t xml:space="preserve">Policy</w:t>
            </w:r>
          </w:p>
        </w:tc>
        <w:tc>
          <w:tcPr/>
          <w:p>
            <w:pPr>
              <w:pStyle w:val="Compact"/>
            </w:pPr>
            <w:r>
              <w:t xml:space="preserve">Surface</w:t>
            </w:r>
          </w:p>
        </w:tc>
        <w:tc>
          <w:tcPr/>
          <w:p>
            <w:pPr>
              <w:pStyle w:val="Compact"/>
            </w:pPr>
            <w:r>
              <w:t xml:space="preserve">Condition</w:t>
            </w:r>
          </w:p>
        </w:tc>
        <w:tc>
          <w:tcPr/>
          <w:p>
            <w:pPr>
              <w:pStyle w:val="Compact"/>
            </w:pPr>
            <w:r>
              <w:t xml:space="preserve">Action</w:t>
            </w:r>
          </w:p>
        </w:tc>
      </w:tr>
      <w:tr>
        <w:tc>
          <w:tcPr/>
          <w:p>
            <w:pPr>
              <w:pStyle w:val="Compact"/>
            </w:pPr>
            <w:r>
              <w:t xml:space="preserve">Block external sharing of CUI</w:t>
            </w:r>
          </w:p>
        </w:tc>
        <w:tc>
          <w:tcPr/>
          <w:p>
            <w:pPr>
              <w:pStyle w:val="Compact"/>
            </w:pPr>
            <w:r>
              <w:t xml:space="preserve">SharePoint, OneDrive</w:t>
            </w:r>
          </w:p>
        </w:tc>
        <w:tc>
          <w:tcPr/>
          <w:p>
            <w:pPr>
              <w:pStyle w:val="Compact"/>
            </w:pPr>
            <w:r>
              <w:t xml:space="preserve">Label = CUI-Basic or CUI-Specified</w:t>
            </w:r>
          </w:p>
        </w:tc>
        <w:tc>
          <w:tcPr/>
          <w:p>
            <w:pPr>
              <w:pStyle w:val="Compact"/>
            </w:pPr>
            <w:r>
              <w:t xml:space="preserve">Block + policy tip + alert</w:t>
            </w:r>
          </w:p>
        </w:tc>
      </w:tr>
      <w:tr>
        <w:tc>
          <w:tcPr/>
          <w:p>
            <w:pPr>
              <w:pStyle w:val="Compact"/>
            </w:pPr>
            <w:r>
              <w:t xml:space="preserve">Block external send of CUI</w:t>
            </w:r>
          </w:p>
        </w:tc>
        <w:tc>
          <w:tcPr/>
          <w:p>
            <w:pPr>
              <w:pStyle w:val="Compact"/>
            </w:pPr>
            <w:r>
              <w:t xml:space="preserve">Exchange</w:t>
            </w:r>
          </w:p>
        </w:tc>
        <w:tc>
          <w:tcPr/>
          <w:p>
            <w:pPr>
              <w:pStyle w:val="Compact"/>
            </w:pPr>
            <w:r>
              <w:t xml:space="preserve">Label = CUI-Basic AND recipient is external</w:t>
            </w:r>
          </w:p>
        </w:tc>
        <w:tc>
          <w:tcPr/>
          <w:p>
            <w:pPr>
              <w:pStyle w:val="Compact"/>
            </w:pPr>
            <w:r>
              <w:t xml:space="preserve">Block + policy tip</w:t>
            </w:r>
          </w:p>
        </w:tc>
      </w:tr>
      <w:tr>
        <w:tc>
          <w:tcPr/>
          <w:p>
            <w:pPr>
              <w:pStyle w:val="Compact"/>
            </w:pPr>
            <w:r>
              <w:t xml:space="preserve">Block print of CUI-Specified</w:t>
            </w:r>
          </w:p>
        </w:tc>
        <w:tc>
          <w:tcPr/>
          <w:p>
            <w:pPr>
              <w:pStyle w:val="Compact"/>
            </w:pPr>
            <w:r>
              <w:t xml:space="preserve">Endpoint</w:t>
            </w:r>
          </w:p>
        </w:tc>
        <w:tc>
          <w:tcPr/>
          <w:p>
            <w:pPr>
              <w:pStyle w:val="Compact"/>
            </w:pPr>
            <w:r>
              <w:t xml:space="preserve">Label = CUI-Specified</w:t>
            </w:r>
          </w:p>
        </w:tc>
        <w:tc>
          <w:tcPr/>
          <w:p>
            <w:pPr>
              <w:pStyle w:val="Compact"/>
            </w:pPr>
            <w:r>
              <w:t xml:space="preserve">Block + audit event</w:t>
            </w:r>
          </w:p>
        </w:tc>
      </w:tr>
      <w:tr>
        <w:tc>
          <w:tcPr/>
          <w:p>
            <w:pPr>
              <w:pStyle w:val="Compact"/>
            </w:pPr>
            <w:r>
              <w:t xml:space="preserve">Block USB transfer of CUI</w:t>
            </w:r>
          </w:p>
        </w:tc>
        <w:tc>
          <w:tcPr/>
          <w:p>
            <w:pPr>
              <w:pStyle w:val="Compact"/>
            </w:pPr>
            <w:r>
              <w:t xml:space="preserve">Endpoint</w:t>
            </w:r>
          </w:p>
        </w:tc>
        <w:tc>
          <w:tcPr/>
          <w:p>
            <w:pPr>
              <w:pStyle w:val="Compact"/>
            </w:pPr>
            <w:r>
              <w:t xml:space="preserve">Label = CUI-Basic or CUI-Specified, device = removable media</w:t>
            </w:r>
          </w:p>
        </w:tc>
        <w:tc>
          <w:tcPr/>
          <w:p>
            <w:pPr>
              <w:pStyle w:val="Compact"/>
            </w:pPr>
            <w:r>
              <w:t xml:space="preserve">Block + audit event</w:t>
            </w:r>
          </w:p>
        </w:tc>
      </w:tr>
      <w:tr>
        <w:tc>
          <w:tcPr/>
          <w:p>
            <w:pPr>
              <w:pStyle w:val="Compact"/>
            </w:pPr>
            <w:r>
              <w:t xml:space="preserve">Block upload to non-approved cloud storage</w:t>
            </w:r>
          </w:p>
        </w:tc>
        <w:tc>
          <w:tcPr/>
          <w:p>
            <w:pPr>
              <w:pStyle w:val="Compact"/>
            </w:pPr>
            <w:r>
              <w:t xml:space="preserve">Endpoint + CASB</w:t>
            </w:r>
          </w:p>
        </w:tc>
        <w:tc>
          <w:tcPr/>
          <w:p>
            <w:pPr>
              <w:pStyle w:val="Compact"/>
            </w:pPr>
            <w:r>
              <w:t xml:space="preserve">Label any CUI, destination not in approved list</w:t>
            </w:r>
          </w:p>
        </w:tc>
        <w:tc>
          <w:tcPr/>
          <w:p>
            <w:pPr>
              <w:pStyle w:val="Compact"/>
            </w:pPr>
            <w:r>
              <w:t xml:space="preserve">Block + alert</w:t>
            </w:r>
          </w:p>
        </w:tc>
      </w:tr>
      <w:tr>
        <w:tc>
          <w:tcPr/>
          <w:p>
            <w:pPr>
              <w:pStyle w:val="Compact"/>
            </w:pPr>
            <w:r>
              <w:t xml:space="preserve">Alert on bulk download</w:t>
            </w:r>
          </w:p>
        </w:tc>
        <w:tc>
          <w:tcPr/>
          <w:p>
            <w:pPr>
              <w:pStyle w:val="Compact"/>
            </w:pPr>
            <w:r>
              <w:t xml:space="preserve">SharePoint</w:t>
            </w:r>
          </w:p>
        </w:tc>
        <w:tc>
          <w:tcPr/>
          <w:p>
            <w:pPr>
              <w:pStyle w:val="Compact"/>
            </w:pPr>
            <w:r>
              <w:t xml:space="preserve">Volume &gt; 50 files in 10 minutes, any label</w:t>
            </w:r>
          </w:p>
        </w:tc>
        <w:tc>
          <w:tcPr/>
          <w:p>
            <w:pPr>
              <w:pStyle w:val="Compact"/>
            </w:pPr>
            <w:r>
              <w:t xml:space="preserve">Alert + manager notification</w:t>
            </w:r>
          </w:p>
        </w:tc>
      </w:tr>
      <w:tr>
        <w:tc>
          <w:tcPr/>
          <w:p>
            <w:pPr>
              <w:pStyle w:val="Compact"/>
            </w:pPr>
            <w:r>
              <w:t xml:space="preserve">Alert on SSN in Teams message</w:t>
            </w:r>
          </w:p>
        </w:tc>
        <w:tc>
          <w:tcPr/>
          <w:p>
            <w:pPr>
              <w:pStyle w:val="Compact"/>
            </w:pPr>
            <w:r>
              <w:t xml:space="preserve">Teams</w:t>
            </w:r>
          </w:p>
        </w:tc>
        <w:tc>
          <w:tcPr/>
          <w:p>
            <w:pPr>
              <w:pStyle w:val="Compact"/>
            </w:pPr>
            <w:r>
              <w:t xml:space="preserve">SIT = SSN, minCount = 1</w:t>
            </w:r>
          </w:p>
        </w:tc>
        <w:tc>
          <w:tcPr/>
          <w:p>
            <w:pPr>
              <w:pStyle w:val="Compact"/>
            </w:pPr>
            <w:r>
              <w:t xml:space="preserve">Restrict + policy tip + alert</w:t>
            </w:r>
          </w:p>
        </w:tc>
      </w:tr>
    </w:tbl>
    <w:p>
      <w:pPr>
        <w:pStyle w:val="SourceCode"/>
      </w:pPr>
      <w:r>
        <w:rPr>
          <w:rStyle w:val="CommentTok"/>
        </w:rPr>
        <w:t xml:space="preserve"># Policy 1: Block external sharing of CUI in SharePoint and OneDrive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share of CUI-Basic or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AccessScope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document is classified CUI and cannot be shared externally. Contact your supervisor or records officer if external sharing is required."</w:t>
      </w:r>
      <w:r>
        <w:rPr>
          <w:rStyle w:val="NormalTok"/>
        </w:rPr>
        <w:t xml:space="preserve"> `</w:t>
      </w:r>
      <w:r>
        <w:br/>
      </w:r>
      <w:r>
        <w:rPr>
          <w:rStyle w:val="NormalTok"/>
        </w:rPr>
        <w:t xml:space="preserve">  </w:t>
      </w:r>
      <w:r>
        <w:rPr>
          <w:rStyle w:val="OperatorTok"/>
        </w:rPr>
        <w:t xml:space="preserve">-</w:t>
      </w:r>
      <w:r>
        <w:rPr>
          <w:rStyle w:val="NormalTok"/>
        </w:rPr>
        <w:t xml:space="preserve">GenerateAlert SiteAdmin `</w:t>
      </w:r>
      <w:r>
        <w:br/>
      </w:r>
      <w:r>
        <w:rPr>
          <w:rStyle w:val="NormalTok"/>
        </w:rPr>
        <w:t xml:space="preserve">  </w:t>
      </w:r>
      <w:r>
        <w:rPr>
          <w:rStyle w:val="OperatorTok"/>
        </w:rPr>
        <w:t xml:space="preserve">-</w:t>
      </w:r>
      <w:r>
        <w:rPr>
          <w:rStyle w:val="NormalTok"/>
        </w:rPr>
        <w:t xml:space="preserve">GenerateIncidentReport SiteAdmin `</w:t>
      </w:r>
      <w:r>
        <w:br/>
      </w:r>
      <w:r>
        <w:rPr>
          <w:rStyle w:val="NormalTok"/>
        </w:rPr>
        <w:t xml:space="preserve">  </w:t>
      </w:r>
      <w:r>
        <w:rPr>
          <w:rStyle w:val="OperatorTok"/>
        </w:rPr>
        <w:t xml:space="preserve">-</w:t>
      </w:r>
      <w:r>
        <w:rPr>
          <w:rStyle w:val="NormalTok"/>
        </w:rPr>
        <w:t xml:space="preserve">IncidentReportContent </w:t>
      </w:r>
      <w:r>
        <w:rPr>
          <w:rStyle w:val="OperatorTok"/>
        </w:rPr>
        <w:t xml:space="preserve">@(</w:t>
      </w:r>
      <w:r>
        <w:rPr>
          <w:rStyle w:val="StringTok"/>
        </w:rPr>
        <w:t xml:space="preserve">"Title"</w:t>
      </w:r>
      <w:r>
        <w:rPr>
          <w:rStyle w:val="OperatorTok"/>
        </w:rPr>
        <w:t xml:space="preserve">,</w:t>
      </w:r>
      <w:r>
        <w:rPr>
          <w:rStyle w:val="StringTok"/>
        </w:rPr>
        <w:t xml:space="preserve">"Severity"</w:t>
      </w:r>
      <w:r>
        <w:rPr>
          <w:rStyle w:val="OperatorTok"/>
        </w:rPr>
        <w:t xml:space="preserve">,</w:t>
      </w:r>
      <w:r>
        <w:rPr>
          <w:rStyle w:val="StringTok"/>
        </w:rPr>
        <w:t xml:space="preserve">"MsgURLs"</w:t>
      </w:r>
      <w:r>
        <w:rPr>
          <w:rStyle w:val="OperatorTok"/>
        </w:rPr>
        <w:t xml:space="preserve">,</w:t>
      </w:r>
      <w:r>
        <w:rPr>
          <w:rStyle w:val="StringTok"/>
        </w:rPr>
        <w:t xml:space="preserve">"MatchedItem"</w:t>
      </w:r>
      <w:r>
        <w:rPr>
          <w:rStyle w:val="OperatorTok"/>
        </w:rPr>
        <w:t xml:space="preserve">,</w:t>
      </w:r>
      <w:r>
        <w:rPr>
          <w:rStyle w:val="StringTok"/>
        </w:rPr>
        <w:t xml:space="preserve">"RulesMatched"</w:t>
      </w:r>
      <w:r>
        <w:rPr>
          <w:rStyle w:val="OperatorTok"/>
        </w:rPr>
        <w:t xml:space="preserve">,</w:t>
      </w:r>
      <w:r>
        <w:rPr>
          <w:rStyle w:val="StringTok"/>
        </w:rPr>
        <w:t xml:space="preserve">"Service"</w:t>
      </w:r>
      <w:r>
        <w:rPr>
          <w:rStyle w:val="OperatorTok"/>
        </w:rPr>
        <w:t xml:space="preserve">,</w:t>
      </w:r>
      <w:r>
        <w:rPr>
          <w:rStyle w:val="StringTok"/>
        </w:rPr>
        <w:t xml:space="preserve">"MatchedMessages"</w:t>
      </w:r>
      <w:r>
        <w:rPr>
          <w:rStyle w:val="OperatorTok"/>
        </w:rPr>
        <w:t xml:space="preserve">,</w:t>
      </w:r>
      <w:r>
        <w:rPr>
          <w:rStyle w:val="StringTok"/>
        </w:rPr>
        <w:t xml:space="preserve">"SenderAddress"</w:t>
      </w:r>
      <w:r>
        <w:rPr>
          <w:rStyle w:val="OperatorTok"/>
        </w:rPr>
        <w:t xml:space="preserve">,</w:t>
      </w:r>
      <w:r>
        <w:rPr>
          <w:rStyle w:val="StringTok"/>
        </w:rPr>
        <w:t xml:space="preserve">"RecipientAddress"</w:t>
      </w:r>
      <w:r>
        <w:rPr>
          <w:rStyle w:val="OperatorTok"/>
        </w:rPr>
        <w:t xml:space="preserve">,</w:t>
      </w:r>
      <w:r>
        <w:rPr>
          <w:rStyle w:val="StringTok"/>
        </w:rPr>
        <w:t xml:space="preserve">"Subject"</w:t>
      </w:r>
      <w:r>
        <w:rPr>
          <w:rStyle w:val="OperatorTok"/>
        </w:rPr>
        <w:t xml:space="preserve">,</w:t>
      </w:r>
      <w:r>
        <w:rPr>
          <w:rStyle w:val="StringTok"/>
        </w:rPr>
        <w:t xml:space="preserve">"AttachmentNames"</w:t>
      </w:r>
      <w:r>
        <w:rPr>
          <w:rStyle w:val="OperatorTok"/>
        </w:rPr>
        <w:t xml:space="preserve">,</w:t>
      </w:r>
      <w:r>
        <w:rPr>
          <w:rStyle w:val="StringTok"/>
        </w:rPr>
        <w:t xml:space="preserve">"DocumentAuthor"</w:t>
      </w:r>
      <w:r>
        <w:rPr>
          <w:rStyle w:val="OperatorTok"/>
        </w:rPr>
        <w:t xml:space="preserve">,</w:t>
      </w:r>
      <w:r>
        <w:rPr>
          <w:rStyle w:val="StringTok"/>
        </w:rPr>
        <w:t xml:space="preserve">"DocumentLastModifier"</w:t>
      </w:r>
      <w:r>
        <w:rPr>
          <w:rStyle w:val="OperatorTok"/>
        </w:rPr>
        <w:t xml:space="preserve">,</w:t>
      </w:r>
      <w:r>
        <w:rPr>
          <w:rStyle w:val="StringTok"/>
        </w:rPr>
        <w:t xml:space="preserve">"SensitiveInfoTypeDetails"</w:t>
      </w:r>
      <w:r>
        <w:rPr>
          <w:rStyle w:val="OperatorTok"/>
        </w:rPr>
        <w:t xml:space="preserve">,</w:t>
      </w:r>
      <w:r>
        <w:rPr>
          <w:rStyle w:val="StringTok"/>
        </w:rPr>
        <w:t xml:space="preserve">"Detections"</w:t>
      </w:r>
      <w:r>
        <w:rPr>
          <w:rStyle w:val="OperatorTok"/>
        </w:rPr>
        <w:t xml:space="preserve">)</w:t>
      </w:r>
      <w:r>
        <w:br/>
      </w:r>
      <w:r>
        <w:br/>
      </w:r>
      <w:r>
        <w:rPr>
          <w:rStyle w:val="CommentTok"/>
        </w:rPr>
        <w:t xml:space="preserve"># Policy 2: Block external send of CUI in Exchange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email with CUI-Basic label"</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is labeled CUI and cannot be sent to external recipients without authorization. Use an approved encrypted transfer method."</w:t>
      </w:r>
      <w:r>
        <w:br/>
      </w:r>
      <w:r>
        <w:br/>
      </w:r>
      <w:r>
        <w:rPr>
          <w:rStyle w:val="CommentTok"/>
        </w:rPr>
        <w:t xml:space="preserve"># Policy 3: Teams SSN detection</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TeamsLocation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Teams messages"</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appears to contain a Social Security Number. SSNs should not be transmitted through Teams. Use the authorized secure file transfer system."</w:t>
      </w:r>
      <w:r>
        <w:rPr>
          <w:rStyle w:val="NormalTok"/>
        </w:rPr>
        <w:t xml:space="preserve">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Medium</w:t>
      </w:r>
    </w:p>
    <w:bookmarkEnd w:id="152"/>
    <w:bookmarkStart w:id="153" w:name="endpoint-dlp-configuration"/>
    <w:p>
      <w:pPr>
        <w:pStyle w:val="Heading2"/>
      </w:pPr>
      <w:r>
        <w:t xml:space="preserve">Endpoint DLP Configuration</w:t>
      </w:r>
    </w:p>
    <w:p>
      <w:pPr>
        <w:pStyle w:val="FirstParagraph"/>
      </w:pPr>
      <w:r>
        <w:t xml:space="preserve">Endpoint DLP requires the workstation to be onboarded to Defender for Endpoint. The Endpoint DLP policy is deployed through the Purview compliance portal and enforced by the Defender for Endpoint sensor on the device.</w:t>
      </w:r>
    </w:p>
    <w:p>
      <w:pPr>
        <w:pStyle w:val="SourceCode"/>
      </w:pPr>
      <w:r>
        <w:rPr>
          <w:rStyle w:val="CommentTok"/>
        </w:rPr>
        <w:t xml:space="preserve"># Endpoint DLP: Block print and USB transfer of CUI-Specified</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EndpointDlpLocation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print of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EndpointDlpRestrictions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"Print"</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"CopyToClipboard"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"CopyToRemovableMedia"</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"CopyToNetworkShare"</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"UploadToCloud"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High</w:t>
      </w:r>
    </w:p>
    <w:p>
      <w:pPr>
        <w:pStyle w:val="FirstParagraph"/>
      </w:pPr>
      <w:r>
        <w:rPr>
          <w:b/>
          <w:bCs/>
        </w:rPr>
        <w:t xml:space="preserve">Endpoint DLP and Defender for Endpoint Integration</w:t>
      </w:r>
      <w:r>
        <w:t xml:space="preserve"> </w:t>
      </w:r>
      <w:r>
        <w:t xml:space="preserve">— Endpoint DLP enforcement depends on the Defender for Endpoint sensor being active and reporting device health to the Purview service. A device that has been excluded from Defender for Endpoint onboarding (for example, a legacy industrial control system or a specialized testing workstation) will not receive Endpoint DLP policy. Audit the Defender for Endpoint onboarding coverage report before deploying Endpoint DLP and resolve onboarding gaps first.</w:t>
      </w:r>
    </w:p>
    <w:bookmarkEnd w:id="153"/>
    <w:bookmarkEnd w:id="154"/>
    <w:bookmarkStart w:id="160" w:name="Xfc70cb0276ae6456512ad56b80133c33c0a76bb"/>
    <w:p>
      <w:pPr>
        <w:pStyle w:val="Heading1"/>
      </w:pPr>
      <w:r>
        <w:t xml:space="preserve">Azure Key Vault and Cryptographic Key Management</w:t>
      </w:r>
    </w:p>
    <w:bookmarkStart w:id="155" w:name="the-federal-key-management-hierarchy"/>
    <w:p>
      <w:pPr>
        <w:pStyle w:val="Heading2"/>
      </w:pPr>
      <w:r>
        <w:t xml:space="preserve">The Federal Key Management Hierarchy</w:t>
      </w:r>
    </w:p>
    <w:p>
      <w:pPr>
        <w:pStyle w:val="FirstParagraph"/>
      </w:pPr>
      <w:r>
        <w:t xml:space="preserve">A federal agency’s cryptographic key infrastructure is a hierarchy of trust. Compromise at any level of the hierarchy invalidates the trust established below it. Managing this hierarchy without a central key management system means that the highest-value keys — root CA private keys, data encryption keys, code signing keys — may be protected by controls no more rigorous than a local administrator’s password.</w:t>
      </w:r>
    </w:p>
    <w:p>
      <w:pPr>
        <w:pStyle w:val="BodyText"/>
      </w:pPr>
      <w:r>
        <w:t xml:space="preserve">The federal key management hierarchy for a GCC (Government Community Cloud) environment has four levels:</w:t>
      </w:r>
    </w:p>
    <w:p>
      <w:pPr>
        <w:pStyle w:val="BodyText"/>
      </w:pPr>
      <w:r>
        <w:rPr>
          <w:b/>
          <w:bCs/>
        </w:rPr>
        <w:t xml:space="preserve">Root CA (offline HSM).</w:t>
      </w:r>
      <w:r>
        <w:t xml:space="preserve"> </w:t>
      </w:r>
      <w:r>
        <w:t xml:space="preserve">The root certificate authority’s private key is stored in a Hardware Security Module (HSM) that is kept offline except during certificate issuance or renewal operations. The root CA is self-signed; its certificate is distributed via Group Policy as a trusted root. The root CA signs the issuing CA certificate and is then returned to offline storage.</w:t>
      </w:r>
    </w:p>
    <w:p>
      <w:pPr>
        <w:pStyle w:val="BodyText"/>
      </w:pPr>
      <w:r>
        <w:rPr>
          <w:b/>
          <w:bCs/>
        </w:rPr>
        <w:t xml:space="preserve">Issuing CA.</w:t>
      </w:r>
      <w:r>
        <w:t xml:space="preserve"> </w:t>
      </w:r>
      <w:r>
        <w:t xml:space="preserve">The issuing CA operates online and issues end-entity certificates: device certificates for Entra-joined workstations, user certificates for S/MIME signing and encryption, and TLS certificates for internal services. The issuing CA’s private key may be stored in a cloud HSM (Azure Key Vault Premium tier) for availability and auditability.</w:t>
      </w:r>
    </w:p>
    <w:p>
      <w:pPr>
        <w:pStyle w:val="BodyText"/>
      </w:pPr>
      <w:r>
        <w:rPr>
          <w:b/>
          <w:bCs/>
        </w:rPr>
        <w:t xml:space="preserve">Customer-Managed Keys (CMK) in Azure Key Vault.</w:t>
      </w:r>
      <w:r>
        <w:t xml:space="preserve"> </w:t>
      </w:r>
      <w:r>
        <w:t xml:space="preserve">For data-at-rest encryption — SharePoint Online, Exchange Online, SQL Server TDE, Azure Blob Storage — Customer-Managed Keys replace the Microsoft-managed encryption key with a key stored in the agency’s Azure Key Vault. The agency controls key lifecycle: creation, rotation, and deletion. Microsoft’s encryption service wraps and unwraps the data encryption key using the CMK; the plaintext CMK never leaves the Key Vault HSM.</w:t>
      </w:r>
    </w:p>
    <w:p>
      <w:pPr>
        <w:pStyle w:val="BodyText"/>
      </w:pPr>
      <w:r>
        <w:rPr>
          <w:b/>
          <w:bCs/>
        </w:rPr>
        <w:t xml:space="preserve">Data encryption keys.</w:t>
      </w:r>
      <w:r>
        <w:t xml:space="preserve"> </w:t>
      </w:r>
      <w:r>
        <w:t xml:space="preserve">Generated fresh for each protected resource (each storage account, each SQL database, each mailbox). These keys are wrapped (encrypted) by the CMK in Key Vault. They are never stored in plaintext anywhere outside the HSM boundary.</w:t>
      </w:r>
    </w:p>
    <w:bookmarkEnd w:id="155"/>
    <w:bookmarkStart w:id="156" w:name="X6cbe133390b1a98a6520c1b4425e5ddf2dd362c"/>
    <w:p>
      <w:pPr>
        <w:pStyle w:val="Heading2"/>
      </w:pPr>
      <w:r>
        <w:t xml:space="preserve">Creating and Configuring Azure Key Vault with HSM</w:t>
      </w:r>
    </w:p>
    <w:p>
      <w:pPr>
        <w:pStyle w:val="FirstParagraph"/>
      </w:pPr>
      <w:r>
        <w:t xml:space="preserve">Azure Key Vault Standard tier uses software-protected keys. Azure Key Vault Premium tier uses HSM-protected keys (FIPS 140-3 validated; FIPS 140-2 modules only while they remain on the CMVP Active list, pending the 2026-09-21 Historical transition). For federal CUI environments, the Premium tier with HSM-protected keys is required to satisfy SC-12 and SC-13 at the Moderate impact level.</w:t>
      </w:r>
    </w:p>
    <w:p>
      <w:pPr>
        <w:pStyle w:val="SourceCode"/>
      </w:pPr>
      <w:r>
        <w:rPr>
          <w:rStyle w:val="CommentTok"/>
        </w:rPr>
        <w:t xml:space="preserve"># Connect to Azure</w:t>
      </w:r>
      <w:r>
        <w:br/>
      </w:r>
      <w:r>
        <w:rPr>
          <w:rStyle w:val="NormalTok"/>
        </w:rPr>
        <w:t xml:space="preserve">Connect-AzAccount </w:t>
      </w:r>
      <w:r>
        <w:rPr>
          <w:rStyle w:val="OperatorTok"/>
        </w:rPr>
        <w:t xml:space="preserve">-</w:t>
      </w:r>
      <w:r>
        <w:rPr>
          <w:rStyle w:val="NormalTok"/>
        </w:rPr>
        <w:t xml:space="preserve">TenantId </w:t>
      </w:r>
      <w:r>
        <w:rPr>
          <w:rStyle w:val="StringTok"/>
        </w:rPr>
        <w:t xml:space="preserve">"your-tenant-id"</w:t>
      </w:r>
      <w:r>
        <w:br/>
      </w:r>
      <w:r>
        <w:rPr>
          <w:rStyle w:val="NormalTok"/>
        </w:rPr>
        <w:t xml:space="preserve">Set-AzContext </w:t>
      </w:r>
      <w:r>
        <w:rPr>
          <w:rStyle w:val="OperatorTok"/>
        </w:rPr>
        <w:t xml:space="preserve">-</w:t>
      </w:r>
      <w:r>
        <w:rPr>
          <w:rStyle w:val="NormalTok"/>
        </w:rPr>
        <w:t xml:space="preserve">SubscriptionId </w:t>
      </w:r>
      <w:r>
        <w:rPr>
          <w:rStyle w:val="StringTok"/>
        </w:rPr>
        <w:t xml:space="preserve">"your-subscription-id"</w:t>
      </w:r>
      <w:r>
        <w:br/>
      </w:r>
      <w:r>
        <w:br/>
      </w:r>
      <w:r>
        <w:rPr>
          <w:rStyle w:val="CommentTok"/>
        </w:rPr>
        <w:t xml:space="preserve"># Create a resource group for key management (separate from workload RGs)</w:t>
      </w:r>
      <w:r>
        <w:br/>
      </w:r>
      <w:r>
        <w:rPr>
          <w:rStyle w:val="NormalTok"/>
        </w:rPr>
        <w:t xml:space="preserve">New-AzResourceGroup `</w:t>
      </w:r>
      <w:r>
        <w:br/>
      </w:r>
      <w:r>
        <w:rPr>
          <w:rStyle w:val="NormalTok"/>
        </w:rPr>
        <w:t xml:space="preserve">  </w:t>
      </w:r>
      <w:r>
        <w:rPr>
          <w:rStyle w:val="OperatorTok"/>
        </w:rPr>
        <w:t xml:space="preserve">-</w:t>
      </w:r>
      <w:r>
        <w:rPr>
          <w:rStyle w:val="NormalTok"/>
        </w:rPr>
        <w:t xml:space="preserve">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rPr>
          <w:rStyle w:val="CommentTok"/>
        </w:rPr>
        <w:t xml:space="preserve"># Agency Azure Government estate per Vol I Book 01; use commercial regions if the tenant is commercial Azure</w:t>
      </w:r>
      <w:r>
        <w:br/>
      </w:r>
      <w:r>
        <w:br/>
      </w:r>
      <w:r>
        <w:rPr>
          <w:rStyle w:val="CommentTok"/>
        </w:rPr>
        <w:t xml:space="preserve"># Create Key Vault with HSM-protected keys (Premium SKU)</w:t>
      </w:r>
      <w:r>
        <w:br/>
      </w:r>
      <w:r>
        <w:rPr>
          <w:rStyle w:val="VariableTok"/>
        </w:rPr>
        <w:t xml:space="preserve">$kv</w:t>
      </w:r>
      <w:r>
        <w:rPr>
          <w:rStyle w:val="NormalTok"/>
        </w:rPr>
        <w:t xml:space="preserve"> </w:t>
      </w:r>
      <w:r>
        <w:rPr>
          <w:rStyle w:val="OperatorTok"/>
        </w:rPr>
        <w:t xml:space="preserve">=</w:t>
      </w:r>
      <w:r>
        <w:rPr>
          <w:rStyle w:val="NormalTok"/>
        </w:rPr>
        <w:t xml:space="preserve"> New-AzKeyVault `</w:t>
      </w:r>
      <w:r>
        <w:br/>
      </w:r>
      <w:r>
        <w:rPr>
          <w:rStyle w:val="NormalTok"/>
        </w:rPr>
        <w:t xml:space="preserve">  </w:t>
      </w:r>
      <w:r>
        <w:rPr>
          <w:rStyle w:val="OperatorTok"/>
        </w:rPr>
        <w:t xml:space="preserve">-</w:t>
      </w:r>
      <w:r>
        <w:rPr>
          <w:rStyle w:val="NormalTok"/>
        </w:rPr>
        <w:t xml:space="preserve">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ResourceGroupName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br/>
      </w:r>
      <w:r>
        <w:rPr>
          <w:rStyle w:val="NormalTok"/>
        </w:rPr>
        <w:t xml:space="preserve">  </w:t>
      </w:r>
      <w:r>
        <w:rPr>
          <w:rStyle w:val="OperatorTok"/>
        </w:rPr>
        <w:t xml:space="preserve">-</w:t>
      </w:r>
      <w:r>
        <w:rPr>
          <w:rStyle w:val="NormalTok"/>
        </w:rPr>
        <w:t xml:space="preserve">Sku </w:t>
      </w:r>
      <w:r>
        <w:rPr>
          <w:rStyle w:val="StringTok"/>
        </w:rPr>
        <w:t xml:space="preserve">"Premium"</w:t>
      </w:r>
      <w:r>
        <w:rPr>
          <w:rStyle w:val="NormalTok"/>
        </w:rPr>
        <w:t xml:space="preserve"> `</w:t>
      </w:r>
      <w:r>
        <w:br/>
      </w:r>
      <w:r>
        <w:rPr>
          <w:rStyle w:val="NormalTok"/>
        </w:rPr>
        <w:t xml:space="preserve">  </w:t>
      </w:r>
      <w:r>
        <w:rPr>
          <w:rStyle w:val="OperatorTok"/>
        </w:rPr>
        <w:t xml:space="preserve">-</w:t>
      </w:r>
      <w:r>
        <w:rPr>
          <w:rStyle w:val="NormalTok"/>
        </w:rPr>
        <w:t xml:space="preserve">EnableSoftDelete `</w:t>
      </w:r>
      <w:r>
        <w:br/>
      </w:r>
      <w:r>
        <w:rPr>
          <w:rStyle w:val="NormalTok"/>
        </w:rPr>
        <w:t xml:space="preserve">  </w:t>
      </w:r>
      <w:r>
        <w:rPr>
          <w:rStyle w:val="OperatorTok"/>
        </w:rPr>
        <w:t xml:space="preserve">-</w:t>
      </w:r>
      <w:r>
        <w:rPr>
          <w:rStyle w:val="NormalTok"/>
        </w:rPr>
        <w:t xml:space="preserve">SoftDeleteRetentionInDays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EnablePurgeProtection `</w:t>
      </w:r>
      <w:r>
        <w:br/>
      </w:r>
      <w:r>
        <w:rPr>
          <w:rStyle w:val="NormalTok"/>
        </w:rPr>
        <w:t xml:space="preserve">  </w:t>
      </w:r>
      <w:r>
        <w:rPr>
          <w:rStyle w:val="OperatorTok"/>
        </w:rPr>
        <w:t xml:space="preserve">-</w:t>
      </w:r>
      <w:r>
        <w:rPr>
          <w:rStyle w:val="NormalTok"/>
        </w:rPr>
        <w:t xml:space="preserve">EnableRbacAuthorization  </w:t>
      </w:r>
      <w:r>
        <w:rPr>
          <w:rStyle w:val="CommentTok"/>
        </w:rPr>
        <w:t xml:space="preserve"># Use RBAC, not legacy access policies</w:t>
      </w:r>
      <w:r>
        <w:br/>
      </w:r>
      <w:r>
        <w:br/>
      </w:r>
      <w:r>
        <w:rPr>
          <w:rStyle w:val="CommentTok"/>
        </w:rPr>
        <w:t xml:space="preserve"># Create CMK for SQL Server TDE (HSM-protected)</w:t>
      </w:r>
      <w:r>
        <w:br/>
      </w:r>
      <w:r>
        <w:rPr>
          <w:rStyle w:val="VariableTok"/>
        </w:rPr>
        <w:t xml:space="preserve">$cmkSql</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"SQL TDE CMK created. Key URI: </w:t>
      </w:r>
      <w:r>
        <w:rPr>
          <w:rStyle w:val="OperatorTok"/>
        </w:rPr>
        <w:t xml:space="preserve">$(</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r>
        <w:br/>
      </w:r>
      <w:r>
        <w:br/>
      </w:r>
      <w:r>
        <w:rPr>
          <w:rStyle w:val="CommentTok"/>
        </w:rPr>
        <w:t xml:space="preserve"># Create CMK for SharePoint BYOK</w:t>
      </w:r>
      <w:r>
        <w:br/>
      </w:r>
      <w:r>
        <w:rPr>
          <w:rStyle w:val="VariableTok"/>
        </w:rPr>
        <w:t xml:space="preserve">$cmkSpo</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"cmk-spo-byok-prod"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"SharePoint BYOK CMK created. Key URI: </w:t>
      </w:r>
      <w:r>
        <w:rPr>
          <w:rStyle w:val="OperatorTok"/>
        </w:rPr>
        <w:t xml:space="preserve">$(</w:t>
      </w:r>
      <w:r>
        <w:rPr>
          <w:rStyle w:val="VariableTok"/>
        </w:rPr>
        <w:t xml:space="preserve">$cmkSpo</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p>
    <w:bookmarkEnd w:id="156"/>
    <w:bookmarkStart w:id="157" w:name="X3468beb898ec6bdc127c75297241bd122068778"/>
    <w:p>
      <w:pPr>
        <w:pStyle w:val="Heading2"/>
      </w:pPr>
      <w:r>
        <w:t xml:space="preserve">Assigning Managed Identity Access to Key Vault</w:t>
      </w:r>
    </w:p>
    <w:p>
      <w:pPr>
        <w:pStyle w:val="FirstParagraph"/>
      </w:pPr>
      <w:r>
        <w:t xml:space="preserve">No human identity should have standing access to key material. Access to Key Vault is granted to Managed Identities — the SQL Server Managed Identity, the Arc-enabled server Managed Identity, and the Microsoft 365 Customer Key service principal — using Azure RBAC.</w:t>
      </w:r>
    </w:p>
    <w:p>
      <w:pPr>
        <w:pStyle w:val="SourceCode"/>
      </w:pPr>
      <w:r>
        <w:rPr>
          <w:rStyle w:val="CommentTok"/>
        </w:rPr>
        <w:t xml:space="preserve"># Get the Managed Identity of the SQL Server (Arc-enrolled hybrid server)</w:t>
      </w:r>
      <w:r>
        <w:br/>
      </w:r>
      <w:r>
        <w:rPr>
          <w:rStyle w:val="VariableTok"/>
        </w:rPr>
        <w:t xml:space="preserve">$sqlMI</w:t>
      </w:r>
      <w:r>
        <w:rPr>
          <w:rStyle w:val="NormalTok"/>
        </w:rPr>
        <w:t xml:space="preserve"> </w:t>
      </w:r>
      <w:r>
        <w:rPr>
          <w:rStyle w:val="OperatorTok"/>
        </w:rPr>
        <w:t xml:space="preserve">=</w:t>
      </w:r>
      <w:r>
        <w:rPr>
          <w:rStyle w:val="NormalTok"/>
        </w:rPr>
        <w:t xml:space="preserve"> Get-AzUserAssignedIdentity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"mi-sql-server-prod"</w:t>
      </w:r>
      <w:r>
        <w:br/>
      </w:r>
      <w:r>
        <w:br/>
      </w:r>
      <w:r>
        <w:rPr>
          <w:rStyle w:val="CommentTok"/>
        </w:rPr>
        <w:t xml:space="preserve"># Assign Key Vault Crypto User role to SQL Managed Identity</w:t>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$sqlMI</w:t>
      </w:r>
      <w:r>
        <w:rPr>
          <w:rStyle w:val="OperatorTok"/>
        </w:rPr>
        <w:t xml:space="preserve">.</w:t>
      </w:r>
      <w:r>
        <w:rPr>
          <w:rStyle w:val="FunctionTok"/>
        </w:rPr>
        <w:t xml:space="preserve">PrincipalId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Crypto User"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Restrict human access: only Key Vault Administrator role for the break-glass account</w:t>
      </w:r>
      <w:r>
        <w:br/>
      </w:r>
      <w:r>
        <w:rPr>
          <w:rStyle w:val="CommentTok"/>
        </w:rPr>
        <w:t xml:space="preserve"># All other humans get Key Vault Reader (metadata only, no key operations)</w:t>
      </w:r>
      <w:r>
        <w:br/>
      </w:r>
      <w:r>
        <w:rPr>
          <w:rStyle w:val="VariableTok"/>
        </w:rPr>
        <w:t xml:space="preserve">$breakGlassAdmin</w:t>
      </w:r>
      <w:r>
        <w:rPr>
          <w:rStyle w:val="NormalTok"/>
        </w:rPr>
        <w:t xml:space="preserve"> </w:t>
      </w:r>
      <w:r>
        <w:rPr>
          <w:rStyle w:val="OperatorTok"/>
        </w:rPr>
        <w:t xml:space="preserve">=</w:t>
      </w:r>
      <w:r>
        <w:rPr>
          <w:rStyle w:val="NormalTok"/>
        </w:rPr>
        <w:t xml:space="preserve"> </w:t>
      </w:r>
      <w:r>
        <w:rPr>
          <w:rStyle w:val="StringTok"/>
        </w:rPr>
        <w:t xml:space="preserve">"break-glass-admin@agency.gov"</w:t>
      </w:r>
      <w:r>
        <w:br/>
      </w:r>
      <w:r>
        <w:rPr>
          <w:rStyle w:val="VariableTok"/>
        </w:rPr>
        <w:t xml:space="preserve">$breakGlassObjectId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Get-AzADUser </w:t>
      </w:r>
      <w:r>
        <w:rPr>
          <w:rStyle w:val="OperatorTok"/>
        </w:rPr>
        <w:t xml:space="preserve">-</w:t>
      </w:r>
      <w:r>
        <w:rPr>
          <w:rStyle w:val="NormalTok"/>
        </w:rPr>
        <w:t xml:space="preserve">UserPrincipalName </w:t>
      </w:r>
      <w:r>
        <w:rPr>
          <w:rStyle w:val="VariableTok"/>
        </w:rPr>
        <w:t xml:space="preserve">$breakGlassAdmin</w:t>
      </w:r>
      <w:r>
        <w:rPr>
          <w:rStyle w:val="OperatorTok"/>
        </w:rPr>
        <w:t xml:space="preserve">).</w:t>
      </w:r>
      <w:r>
        <w:rPr>
          <w:rStyle w:val="FunctionTok"/>
        </w:rPr>
        <w:t xml:space="preserve">Id</w:t>
      </w:r>
      <w:r>
        <w:br/>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$breakGlassObjectId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Administrator"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Configure Key Vault diagnostic logging to Log Analytics</w:t>
      </w:r>
      <w:r>
        <w:br/>
      </w:r>
      <w:r>
        <w:rPr>
          <w:rStyle w:val="VariableTok"/>
        </w:rPr>
        <w:t xml:space="preserve">$law</w:t>
      </w:r>
      <w:r>
        <w:rPr>
          <w:rStyle w:val="NormalTok"/>
        </w:rPr>
        <w:t xml:space="preserve"> </w:t>
      </w:r>
      <w:r>
        <w:rPr>
          <w:rStyle w:val="OperatorTok"/>
        </w:rPr>
        <w:t xml:space="preserve">=</w:t>
      </w:r>
      <w:r>
        <w:rPr>
          <w:rStyle w:val="NormalTok"/>
        </w:rPr>
        <w:t xml:space="preserve"> Get-AzOperationalInsightsWorkspace `</w:t>
      </w:r>
      <w:r>
        <w:br/>
      </w:r>
      <w:r>
        <w:rPr>
          <w:rStyle w:val="NormalTok"/>
        </w:rPr>
        <w:t xml:space="preserve">  </w:t>
      </w:r>
      <w:r>
        <w:rPr>
          <w:rStyle w:val="OperatorTok"/>
        </w:rPr>
        <w:t xml:space="preserve">-</w:t>
      </w:r>
      <w:r>
        <w:rPr>
          <w:rStyle w:val="NormalTok"/>
        </w:rPr>
        <w:t xml:space="preserve">ResourceGroupName </w:t>
      </w:r>
      <w:r>
        <w:rPr>
          <w:rStyle w:val="StringTok"/>
        </w:rPr>
        <w:t xml:space="preserve">"rg-security-ops"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"law-agency-security"</w:t>
      </w:r>
      <w:r>
        <w:br/>
      </w:r>
      <w:r>
        <w:br/>
      </w:r>
      <w:r>
        <w:rPr>
          <w:rStyle w:val="NormalTok"/>
        </w:rPr>
        <w:t xml:space="preserve">Set-AzDiagnosticSetting `</w:t>
      </w:r>
      <w:r>
        <w:br/>
      </w:r>
      <w:r>
        <w:rPr>
          <w:rStyle w:val="NormalTok"/>
        </w:rPr>
        <w:t xml:space="preserve">  </w:t>
      </w:r>
      <w:r>
        <w:rPr>
          <w:rStyle w:val="OperatorTok"/>
        </w:rPr>
        <w:t xml:space="preserve">-</w:t>
      </w:r>
      <w:r>
        <w:rPr>
          <w:rStyle w:val="NormalTok"/>
        </w:rPr>
        <w:t xml:space="preserve">ResourceId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"kv-diag-law"</w:t>
      </w:r>
      <w:r>
        <w:rPr>
          <w:rStyle w:val="NormalTok"/>
        </w:rPr>
        <w:t xml:space="preserve"> `</w:t>
      </w:r>
      <w:r>
        <w:br/>
      </w:r>
      <w:r>
        <w:rPr>
          <w:rStyle w:val="NormalTok"/>
        </w:rPr>
        <w:t xml:space="preserve">  </w:t>
      </w:r>
      <w:r>
        <w:rPr>
          <w:rStyle w:val="OperatorTok"/>
        </w:rPr>
        <w:t xml:space="preserve">-</w:t>
      </w:r>
      <w:r>
        <w:rPr>
          <w:rStyle w:val="NormalTok"/>
        </w:rPr>
        <w:t xml:space="preserve">WorkspaceId </w:t>
      </w:r>
      <w:r>
        <w:rPr>
          <w:rStyle w:val="VariableTok"/>
        </w:rPr>
        <w:t xml:space="preserve">$law</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Category </w:t>
      </w:r>
      <w:r>
        <w:rPr>
          <w:rStyle w:val="OperatorTok"/>
        </w:rPr>
        <w:t xml:space="preserve">@(</w:t>
      </w:r>
      <w:r>
        <w:rPr>
          <w:rStyle w:val="StringTok"/>
        </w:rPr>
        <w:t xml:space="preserve">"AuditEvent"</w:t>
      </w:r>
      <w:r>
        <w:rPr>
          <w:rStyle w:val="OperatorTok"/>
        </w:rPr>
        <w:t xml:space="preserve">,</w:t>
      </w:r>
      <w:r>
        <w:rPr>
          <w:rStyle w:val="StringTok"/>
        </w:rPr>
        <w:t xml:space="preserve">"AzurePolicyEvaluationDetails"</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MetricCategory </w:t>
      </w:r>
      <w:r>
        <w:rPr>
          <w:rStyle w:val="StringTok"/>
        </w:rPr>
        <w:t xml:space="preserve">"AllMetrics"</w:t>
      </w:r>
    </w:p>
    <w:bookmarkEnd w:id="157"/>
    <w:bookmarkStart w:id="158" w:name="Xe7d783b637e12a3dd1db38c452918e3ece47d5f"/>
    <w:p>
      <w:pPr>
        <w:pStyle w:val="Heading2"/>
      </w:pPr>
      <w:r>
        <w:t xml:space="preserve">Configuring SQL Server TDE with Customer-Managed Key</w:t>
      </w:r>
    </w:p>
    <w:p>
      <w:pPr>
        <w:pStyle w:val="FirstParagraph"/>
      </w:pPr>
      <w:r>
        <w:t xml:space="preserve">SQL Server Transparent Data Encryption (TDE) was established in Vol II Book 01 and Vol II Book 02 (SQL Server Implementation Guide) of this series. The initial configuration used a service-managed key (Microsoft-managed, stored within the SQL service). Migrating to a Customer-Managed Key places the wrapping key in the agency’s Key Vault, satisfying SC-12 and SC-12(1).</w:t>
      </w:r>
    </w:p>
    <w:p>
      <w:pPr>
        <w:pStyle w:val="SourceCode"/>
      </w:pPr>
      <w:r>
        <w:rPr>
          <w:rStyle w:val="CommentTok"/>
        </w:rPr>
        <w:t xml:space="preserve"># Configure Azure SQL Server to use CMK for TDE</w:t>
      </w:r>
      <w:r>
        <w:br/>
      </w:r>
      <w:r>
        <w:rPr>
          <w:rStyle w:val="CommentTok"/>
        </w:rPr>
        <w:t xml:space="preserve"># This assumes Azure SQL (PaaS); for Arc SQL Server, use the SQL Server connector</w:t>
      </w:r>
      <w:r>
        <w:br/>
      </w:r>
      <w:r>
        <w:br/>
      </w:r>
      <w:r>
        <w:rPr>
          <w:rStyle w:val="VariableTok"/>
        </w:rPr>
        <w:t xml:space="preserve">$sqlServer</w:t>
      </w:r>
      <w:r>
        <w:rPr>
          <w:rStyle w:val="NormalTok"/>
        </w:rPr>
        <w:t xml:space="preserve"> </w:t>
      </w:r>
      <w:r>
        <w:rPr>
          <w:rStyle w:val="OperatorTok"/>
        </w:rPr>
        <w:t xml:space="preserve">=</w:t>
      </w:r>
      <w:r>
        <w:rPr>
          <w:rStyle w:val="NormalTok"/>
        </w:rPr>
        <w:t xml:space="preserve"> Get-AzSqlServer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Add the Key Vault key as the TDE protector</w:t>
      </w:r>
      <w:r>
        <w:br/>
      </w:r>
      <w:r>
        <w:rPr>
          <w:rStyle w:val="NormalTok"/>
        </w:rPr>
        <w:t xml:space="preserve">Add-AzSqlServerKeyVaultKey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br/>
      </w:r>
      <w:r>
        <w:br/>
      </w:r>
      <w:r>
        <w:rPr>
          <w:rStyle w:val="CommentTok"/>
        </w:rPr>
        <w:t xml:space="preserve"># Set the TDE protector to the CMK</w:t>
      </w:r>
      <w:r>
        <w:br/>
      </w:r>
      <w:r>
        <w:rPr>
          <w:rStyle w:val="NormalTok"/>
        </w:rPr>
        <w:t xml:space="preserve">Set-AzSqlServerTransparentDataEncryptionProtector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Type AzureKeyVault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NormalTok"/>
        </w:rPr>
        <w:t xml:space="preserve"> `</w:t>
      </w:r>
      <w:r>
        <w:br/>
      </w:r>
      <w:r>
        <w:rPr>
          <w:rStyle w:val="NormalTok"/>
        </w:rPr>
        <w:t xml:space="preserve">  </w:t>
      </w:r>
      <w:r>
        <w:rPr>
          <w:rStyle w:val="OperatorTok"/>
        </w:rPr>
        <w:t xml:space="preserve">-</w:t>
      </w:r>
      <w:r>
        <w:rPr>
          <w:rStyle w:val="NormalTok"/>
        </w:rPr>
        <w:t xml:space="preserve">AutoRotationEnabled </w:t>
      </w:r>
      <w:r>
        <w:rPr>
          <w:rStyle w:val="VariableTok"/>
        </w:rPr>
        <w:t xml:space="preserve">$true</w:t>
      </w:r>
      <w:r>
        <w:rPr>
          <w:rStyle w:val="NormalTok"/>
        </w:rPr>
        <w:t xml:space="preserve">  </w:t>
      </w:r>
      <w:r>
        <w:rPr>
          <w:rStyle w:val="CommentTok"/>
        </w:rPr>
        <w:t xml:space="preserve"># Enables automatic key rotation on new key version</w:t>
      </w:r>
      <w:r>
        <w:br/>
      </w:r>
      <w:r>
        <w:br/>
      </w:r>
      <w:r>
        <w:rPr>
          <w:rStyle w:val="CommentTok"/>
        </w:rPr>
        <w:t xml:space="preserve"># Verify TDE protector is set correctly</w:t>
      </w:r>
      <w:r>
        <w:br/>
      </w:r>
      <w:r>
        <w:rPr>
          <w:rStyle w:val="NormalTok"/>
        </w:rPr>
        <w:t xml:space="preserve">Get-AzSqlServerTransparentDataEncryptionProtector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Verify each database's TDE status</w:t>
      </w:r>
      <w:r>
        <w:br/>
      </w:r>
      <w:r>
        <w:rPr>
          <w:rStyle w:val="NormalTok"/>
        </w:rPr>
        <w:t xml:space="preserve">Get-AzSqlDatabase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DatabaseName</w:t>
      </w:r>
      <w:r>
        <w:rPr>
          <w:rStyle w:val="NormalTok"/>
        </w:rPr>
        <w:t xml:space="preserve"> </w:t>
      </w:r>
      <w:r>
        <w:rPr>
          <w:rStyle w:val="OperatorTok"/>
        </w:rPr>
        <w:t xml:space="preserve">-ne</w:t>
      </w:r>
      <w:r>
        <w:rPr>
          <w:rStyle w:val="NormalTok"/>
        </w:rPr>
        <w:t xml:space="preserve"> </w:t>
      </w:r>
      <w:r>
        <w:rPr>
          <w:rStyle w:val="StringTok"/>
        </w:rPr>
        <w:t xml:space="preserve">"master"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Get-AzSqlDatabaseTransparentDataEncryption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DatabaseName </w:t>
      </w:r>
      <w:r>
        <w:rPr>
          <w:rStyle w:val="VariableTok"/>
        </w:rPr>
        <w:t xml:space="preserve">$_</w:t>
      </w:r>
      <w:r>
        <w:rPr>
          <w:rStyle w:val="OperatorTok"/>
        </w:rPr>
        <w:t xml:space="preserve">.</w:t>
      </w:r>
      <w:r>
        <w:rPr>
          <w:rStyle w:val="FunctionTok"/>
        </w:rPr>
        <w:t xml:space="preserve">DatabaseName</w:t>
      </w:r>
      <w:r>
        <w:br/>
      </w:r>
      <w:r>
        <w:rPr>
          <w:rStyle w:val="NormalTok"/>
        </w:rPr>
        <w:t xml:space="preserve">  </w:t>
      </w:r>
      <w:r>
        <w:rPr>
          <w:rStyle w:val="OperatorTok"/>
        </w:rPr>
        <w:t xml:space="preserve">}</w:t>
      </w:r>
    </w:p>
    <w:bookmarkEnd w:id="158"/>
    <w:bookmarkStart w:id="159" w:name="key-rotation-policy"/>
    <w:p>
      <w:pPr>
        <w:pStyle w:val="Heading2"/>
      </w:pPr>
      <w:r>
        <w:t xml:space="preserve">Key Rotation Policy</w:t>
      </w:r>
    </w:p>
    <w:p>
      <w:pPr>
        <w:pStyle w:val="FirstParagraph"/>
      </w:pPr>
      <w:r>
        <w:t xml:space="preserve">SC-12 requires a defined key management policy that includes rotation requirements. This architecture adopts a 12-month cryptoperiod for symmetric encryption keys as an organization-defined policy choice, within the recommended cryptoperiods of NIST SP 800-57 Part 1. Customer-Managed Keys in Key Vault support two rotation mechanisms:</w:t>
      </w:r>
    </w:p>
    <w:p>
      <w:pPr>
        <w:pStyle w:val="BodyText"/>
      </w:pPr>
      <w:r>
        <w:rPr>
          <w:b/>
          <w:bCs/>
        </w:rPr>
        <w:t xml:space="preserve">Automatic rotation.</w:t>
      </w:r>
      <w:r>
        <w:t xml:space="preserve"> </w:t>
      </w:r>
      <w:r>
        <w:t xml:space="preserve">Key Vault generates a new key version on a configured schedule (minimum: every 12 months). The SQL TDE protector’s</w:t>
      </w:r>
      <w:r>
        <w:t xml:space="preserve"> </w:t>
      </w:r>
      <w:r>
        <w:rPr>
          <w:rStyle w:val="VerbatimChar"/>
        </w:rPr>
        <w:t xml:space="preserve">AutoRotationEnabled</w:t>
      </w:r>
      <w:r>
        <w:t xml:space="preserve"> </w:t>
      </w:r>
      <w:r>
        <w:t xml:space="preserve">flag (set above) directs the SQL service to automatically pick up the new key version. This is the preferred mechanism for bulk encryption keys.</w:t>
      </w:r>
    </w:p>
    <w:p>
      <w:pPr>
        <w:pStyle w:val="BodyText"/>
      </w:pPr>
      <w:r>
        <w:rPr>
          <w:b/>
          <w:bCs/>
        </w:rPr>
        <w:t xml:space="preserve">Manual rotation.</w:t>
      </w:r>
      <w:r>
        <w:t xml:space="preserve"> </w:t>
      </w:r>
      <w:r>
        <w:t xml:space="preserve">For keys tied to specific certificates or manual processes — code signing keys, CA private keys — automatic rotation may not be appropriate. These keys are rotated manually and the rotation is documented as an operational procedure.</w:t>
      </w:r>
    </w:p>
    <w:p>
      <w:pPr>
        <w:pStyle w:val="SourceCode"/>
      </w:pPr>
      <w:r>
        <w:rPr>
          <w:rStyle w:val="CommentTok"/>
        </w:rPr>
        <w:t xml:space="preserve"># Configure automatic key rotation policy in Key Vault</w:t>
      </w:r>
      <w:r>
        <w:br/>
      </w:r>
      <w:r>
        <w:rPr>
          <w:rStyle w:val="VariableTok"/>
        </w:rPr>
        <w:t xml:space="preserve">$rotationPolicy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lifetimeActions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"Rotate"</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timeAfterCreate </w:t>
      </w:r>
      <w:r>
        <w:rPr>
          <w:rStyle w:val="OperatorTok"/>
        </w:rPr>
        <w:t xml:space="preserve">=</w:t>
      </w:r>
      <w:r>
        <w:rPr>
          <w:rStyle w:val="NormalTok"/>
        </w:rPr>
        <w:t xml:space="preserve"> </w:t>
      </w:r>
      <w:r>
        <w:rPr>
          <w:rStyle w:val="StringTok"/>
        </w:rPr>
        <w:t xml:space="preserve">"P12M"</w:t>
      </w:r>
      <w:r>
        <w:rPr>
          <w:rStyle w:val="NormalTok"/>
        </w:rPr>
        <w:t xml:space="preserve"> </w:t>
      </w:r>
      <w:r>
        <w:rPr>
          <w:rStyle w:val="OperatorTok"/>
        </w:rPr>
        <w:t xml:space="preserve">}</w:t>
      </w:r>
      <w:r>
        <w:rPr>
          <w:rStyle w:val="NormalTok"/>
        </w:rPr>
        <w:t xml:space="preserve">  </w:t>
      </w:r>
      <w:r>
        <w:rPr>
          <w:rStyle w:val="CommentTok"/>
        </w:rPr>
        <w:t xml:space="preserve"># Rotate 12 months after creation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"Notify"</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timeBeforeExpiry </w:t>
      </w:r>
      <w:r>
        <w:rPr>
          <w:rStyle w:val="OperatorTok"/>
        </w:rPr>
        <w:t xml:space="preserve">=</w:t>
      </w:r>
      <w:r>
        <w:rPr>
          <w:rStyle w:val="NormalTok"/>
        </w:rPr>
        <w:t xml:space="preserve"> </w:t>
      </w:r>
      <w:r>
        <w:rPr>
          <w:rStyle w:val="StringTok"/>
        </w:rPr>
        <w:t xml:space="preserve">"P30D"</w:t>
      </w:r>
      <w:r>
        <w:rPr>
          <w:rStyle w:val="NormalTok"/>
        </w:rPr>
        <w:t xml:space="preserve"> </w:t>
      </w:r>
      <w:r>
        <w:rPr>
          <w:rStyle w:val="OperatorTok"/>
        </w:rPr>
        <w:t xml:space="preserve">}</w:t>
      </w:r>
      <w:r>
        <w:rPr>
          <w:rStyle w:val="NormalTok"/>
        </w:rPr>
        <w:t xml:space="preserve">  </w:t>
      </w:r>
      <w:r>
        <w:rPr>
          <w:rStyle w:val="CommentTok"/>
        </w:rPr>
        <w:t xml:space="preserve"># Notify 30 days before expiry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attributes </w:t>
      </w:r>
      <w:r>
        <w:rPr>
          <w:rStyle w:val="OperatorTok"/>
        </w:rPr>
        <w:t xml:space="preserve">=</w:t>
      </w:r>
      <w:r>
        <w:rPr>
          <w:rStyle w:val="NormalTok"/>
        </w:rPr>
        <w:t xml:space="preserve"> @</w:t>
      </w:r>
      <w:r>
        <w:rPr>
          <w:rStyle w:val="OperatorTok"/>
        </w:rPr>
        <w:t xml:space="preserve">{</w:t>
      </w:r>
      <w:r>
        <w:br/>
      </w:r>
      <w:r>
        <w:rPr>
          <w:rStyle w:val="NormalTok"/>
        </w:rPr>
        <w:t xml:space="preserve">    expiryTime </w:t>
      </w:r>
      <w:r>
        <w:rPr>
          <w:rStyle w:val="OperatorTok"/>
        </w:rPr>
        <w:t xml:space="preserve">=</w:t>
      </w:r>
      <w:r>
        <w:rPr>
          <w:rStyle w:val="NormalTok"/>
        </w:rPr>
        <w:t xml:space="preserve"> </w:t>
      </w:r>
      <w:r>
        <w:rPr>
          <w:rStyle w:val="StringTok"/>
        </w:rPr>
        <w:t xml:space="preserve">"P14M"</w:t>
      </w:r>
      <w:r>
        <w:rPr>
          <w:rStyle w:val="NormalTok"/>
        </w:rPr>
        <w:t xml:space="preserve">  </w:t>
      </w:r>
      <w:r>
        <w:rPr>
          <w:rStyle w:val="CommentTok"/>
        </w:rPr>
        <w:t xml:space="preserve"># Key expires 14 months after creation (2 months after rotation)</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Apply rotation policy to the SQL TDE CMK</w:t>
      </w:r>
      <w:r>
        <w:br/>
      </w:r>
      <w:r>
        <w:rPr>
          <w:rStyle w:val="NormalTok"/>
        </w:rPr>
        <w:t xml:space="preserve">Set-AzKeyVaultKeyRotationPolicy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KeyRotationLifetimeAction </w:t>
      </w:r>
      <w:r>
        <w:rPr>
          <w:rStyle w:val="VariableTok"/>
        </w:rPr>
        <w:t xml:space="preserve">$rotationPolicy</w:t>
      </w:r>
      <w:r>
        <w:rPr>
          <w:rStyle w:val="OperatorTok"/>
        </w:rPr>
        <w:t xml:space="preserve">.</w:t>
      </w:r>
      <w:r>
        <w:rPr>
          <w:rStyle w:val="FunctionTok"/>
        </w:rPr>
        <w:t xml:space="preserve">lifetimeActions</w:t>
      </w:r>
      <w:r>
        <w:rPr>
          <w:rStyle w:val="NormalTok"/>
        </w:rPr>
        <w:t xml:space="preserve"> `</w:t>
      </w:r>
      <w:r>
        <w:br/>
      </w:r>
      <w:r>
        <w:rPr>
          <w:rStyle w:val="NormalTok"/>
        </w:rPr>
        <w:t xml:space="preserve">  </w:t>
      </w:r>
      <w:r>
        <w:rPr>
          <w:rStyle w:val="OperatorTok"/>
        </w:rPr>
        <w:t xml:space="preserve">-</w:t>
      </w:r>
      <w:r>
        <w:rPr>
          <w:rStyle w:val="NormalTok"/>
        </w:rPr>
        <w:t xml:space="preserve">ExpiresIn </w:t>
      </w:r>
      <w:r>
        <w:rPr>
          <w:rStyle w:val="VariableTok"/>
        </w:rPr>
        <w:t xml:space="preserve">$rotationPolicy</w:t>
      </w:r>
      <w:r>
        <w:rPr>
          <w:rStyle w:val="OperatorTok"/>
        </w:rPr>
        <w:t xml:space="preserve">.</w:t>
      </w:r>
      <w:r>
        <w:rPr>
          <w:rStyle w:val="FunctionTok"/>
        </w:rPr>
        <w:t xml:space="preserve">attributes</w:t>
      </w:r>
      <w:r>
        <w:rPr>
          <w:rStyle w:val="OperatorTok"/>
        </w:rPr>
        <w:t xml:space="preserve">.</w:t>
      </w:r>
      <w:r>
        <w:rPr>
          <w:rStyle w:val="FunctionTok"/>
        </w:rPr>
        <w:t xml:space="preserve">expiryTime</w:t>
      </w:r>
      <w:r>
        <w:br/>
      </w:r>
      <w:r>
        <w:br/>
      </w:r>
      <w:r>
        <w:rPr>
          <w:rStyle w:val="CommentTok"/>
        </w:rPr>
        <w:t xml:space="preserve"># Verify rotation policy</w:t>
      </w:r>
      <w:r>
        <w:br/>
      </w:r>
      <w:r>
        <w:rPr>
          <w:rStyle w:val="NormalTok"/>
        </w:rPr>
        <w:t xml:space="preserve">Get-AzKeyVaultKeyRotationPolicy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p>
    <w:p>
      <w:pPr>
        <w:pStyle w:val="FirstParagraph"/>
      </w:pPr>
      <w:r>
        <w:rPr>
          <w:b/>
          <w:bCs/>
        </w:rPr>
        <w:t xml:space="preserve">Immediate Rotation on Suspected Compromise</w:t>
      </w:r>
      <w:r>
        <w:t xml:space="preserve"> </w:t>
      </w:r>
      <w:r>
        <w:t xml:space="preserve">— The rotation policy above handles scheduled rotation. If a key is suspected of compromise — for example, a Key Vault Crypto User Managed Identity is associated with a compromised server — an immediate manual rotation is required. Run</w:t>
      </w:r>
      <w:r>
        <w:t xml:space="preserve"> </w:t>
      </w:r>
      <w:r>
        <w:rPr>
          <w:rStyle w:val="VerbatimChar"/>
        </w:rPr>
        <w:t xml:space="preserve">Add-AzKeyVaultKey</w:t>
      </w:r>
      <w:r>
        <w:t xml:space="preserve"> </w:t>
      </w:r>
      <w:r>
        <w:t xml:space="preserve">to create a new key version, update the TDE protector to the new version, and then file a security incident report documenting the compromise scope and the rotation action taken. Do not delete the compromised key version until all data encrypted under it has been re-encrypted.</w:t>
      </w:r>
    </w:p>
    <w:bookmarkEnd w:id="159"/>
    <w:bookmarkEnd w:id="160"/>
    <w:bookmarkStart w:id="165" w:name="non-repudiation-and-audit-integrity"/>
    <w:p>
      <w:pPr>
        <w:pStyle w:val="Heading1"/>
      </w:pPr>
      <w:r>
        <w:t xml:space="preserve">Non-Repudiation and Audit Integrity</w:t>
      </w:r>
    </w:p>
    <w:bookmarkStart w:id="161" w:name="X63cbf7529e583aaf947ccf9ad940489407a0291"/>
    <w:p>
      <w:pPr>
        <w:pStyle w:val="Heading2"/>
      </w:pPr>
      <w:r>
        <w:t xml:space="preserve">AU-10 and the Signed Audit Record Requirement</w:t>
      </w:r>
    </w:p>
    <w:p>
      <w:pPr>
        <w:pStyle w:val="FirstParagraph"/>
      </w:pPr>
      <w:r>
        <w:t xml:space="preserve">NIST SP 800-53 Rev 5 AU-10 states:</w:t>
      </w:r>
      <w:r>
        <w:t xml:space="preserve"> </w:t>
      </w:r>
      <w:r>
        <w:t xml:space="preserve">“Provide irrefutable evidence that an individual (or process acting on behalf of an individual) performed [Assignment: organization-defined actions to be covered by non-repudiation].”</w:t>
      </w:r>
    </w:p>
    <w:p>
      <w:pPr>
        <w:pStyle w:val="BodyText"/>
      </w:pPr>
      <w:r>
        <w:t xml:space="preserve">The word</w:t>
      </w:r>
      <w:r>
        <w:t xml:space="preserve"> </w:t>
      </w:r>
      <w:r>
        <w:t xml:space="preserve">“irrefutable”</w:t>
      </w:r>
      <w:r>
        <w:t xml:space="preserve"> </w:t>
      </w:r>
      <w:r>
        <w:t xml:space="preserve">is load-bearing. A standard audit log entry that records</w:t>
      </w:r>
      <w:r>
        <w:t xml:space="preserve"> </w:t>
      </w:r>
      <w:r>
        <w:t xml:space="preserve">“user@agency.gov accessed file budget-draft.docx at 14:32:07 UTC”</w:t>
      </w:r>
      <w:r>
        <w:t xml:space="preserve"> </w:t>
      </w:r>
      <w:r>
        <w:t xml:space="preserve">satisfies AU-12 (audit generation) — the event was generated. It does not satisfy AU-10 because the record is mutable. A Global Administrator can alter or delete the standard audit log. An attacker who achieves Global Admin scope can cover their tracks. The record is not irrefutable.</w:t>
      </w:r>
    </w:p>
    <w:p>
      <w:pPr>
        <w:pStyle w:val="BodyText"/>
      </w:pPr>
      <w:r>
        <w:t xml:space="preserve">AU-10 is a</w:t>
      </w:r>
      <w:r>
        <w:t xml:space="preserve"> </w:t>
      </w:r>
      <w:r>
        <w:rPr>
          <w:b/>
          <w:bCs/>
        </w:rPr>
        <w:t xml:space="preserve">High</w:t>
      </w:r>
      <w:r>
        <w:t xml:space="preserve">-baseline control — it is</w:t>
      </w:r>
      <w:r>
        <w:t xml:space="preserve"> </w:t>
      </w:r>
      <w:r>
        <w:rPr>
          <w:i/>
          <w:iCs/>
        </w:rPr>
        <w:t xml:space="preserve">not</w:t>
      </w:r>
      <w:r>
        <w:t xml:space="preserve"> </w:t>
      </w:r>
      <w:r>
        <w:t xml:space="preserve">in the NIST SP 800-53B Moderate baseline this series scopes to. An agency whose data or mission warrants it may adopt AU-10 above the Moderate floor; the argument here is conditional on that above-baseline adoption, not a Moderate-baseline mandate. Where an agency does adopt it, Purview Audit Premium is the mechanism that satisfies the irrefutability standard.</w:t>
      </w:r>
    </w:p>
    <w:p>
      <w:pPr>
        <w:pStyle w:val="BodyText"/>
      </w:pPr>
      <w:r>
        <w:t xml:space="preserve">Purview Audit (Premium) addresses this gap through two mechanisms: immutable log storage in a location not accessible to tenant administrators, and cryptographic signatures on high-value audit events. The signature binds the event record to a timestamp issued by a trusted timestamping authority; the record cannot be altered without invalidating the signature.</w:t>
      </w:r>
    </w:p>
    <w:bookmarkEnd w:id="161"/>
    <w:bookmarkStart w:id="162" w:name="enabling-purview-audit-premium"/>
    <w:p>
      <w:pPr>
        <w:pStyle w:val="Heading2"/>
      </w:pPr>
      <w:r>
        <w:t xml:space="preserve">Enabling Purview Audit Premium</w:t>
      </w:r>
    </w:p>
    <w:p>
      <w:pPr>
        <w:pStyle w:val="FirstParagraph"/>
      </w:pPr>
      <w:r>
        <w:t xml:space="preserve">Purview Audit Premium requires an appropriate license (Microsoft 365 E5, E5 Compliance, or F5 Compliance add-on). It must be explicitly enabled for the tenant and configured with a retention policy.</w:t>
      </w:r>
    </w:p>
    <w:p>
      <w:pPr>
        <w:pStyle w:val="SourceCode"/>
      </w:pPr>
      <w:r>
        <w:rPr>
          <w:rStyle w:val="CommentTok"/>
        </w:rPr>
        <w:t xml:space="preserve"># Enable Purview Audit Premium for all users</w:t>
      </w:r>
      <w:r>
        <w:br/>
      </w:r>
      <w:r>
        <w:rPr>
          <w:rStyle w:val="CommentTok"/>
        </w:rPr>
        <w:t xml:space="preserve"># (Requires Security Administrator or Global Administrator role)</w:t>
      </w:r>
      <w:r>
        <w:br/>
      </w:r>
      <w:r>
        <w:br/>
      </w:r>
      <w:r>
        <w:rPr>
          <w:rStyle w:val="CommentTok"/>
        </w:rPr>
        <w:t xml:space="preserve"># First verify current audit status</w:t>
      </w:r>
      <w:r>
        <w:br/>
      </w:r>
      <w:r>
        <w:rPr>
          <w:rStyle w:val="NormalTok"/>
        </w:rPr>
        <w:t xml:space="preserve">Get-AdminAuditLogConfig </w:t>
      </w:r>
      <w:r>
        <w:rPr>
          <w:rStyle w:val="OperatorTok"/>
        </w:rPr>
        <w:t xml:space="preserve">|</w:t>
      </w:r>
      <w:r>
        <w:rPr>
          <w:rStyle w:val="NormalTok"/>
        </w:rPr>
        <w:t xml:space="preserve"> </w:t>
      </w:r>
      <w:r>
        <w:rPr>
          <w:rStyle w:val="FunctionTok"/>
        </w:rPr>
        <w:t xml:space="preserve">Select-Object</w:t>
      </w:r>
      <w:r>
        <w:rPr>
          <w:rStyle w:val="NormalTok"/>
        </w:rPr>
        <w:t xml:space="preserve"> UnifiedAuditLogIngestionEnabled</w:t>
      </w:r>
      <w:r>
        <w:br/>
      </w:r>
      <w:r>
        <w:br/>
      </w:r>
      <w:r>
        <w:rPr>
          <w:rStyle w:val="CommentTok"/>
        </w:rPr>
        <w:t xml:space="preserve"># Enable unified audit logging if not already enabled</w:t>
      </w:r>
      <w:r>
        <w:br/>
      </w:r>
      <w:r>
        <w:rPr>
          <w:rStyle w:val="NormalTok"/>
        </w:rPr>
        <w:t xml:space="preserve">Set-AdminAuditLogConfig </w:t>
      </w:r>
      <w:r>
        <w:rPr>
          <w:rStyle w:val="OperatorTok"/>
        </w:rPr>
        <w:t xml:space="preserve">-</w:t>
      </w:r>
      <w:r>
        <w:rPr>
          <w:rStyle w:val="NormalTok"/>
        </w:rPr>
        <w:t xml:space="preserve">UnifiedAuditLogIngestionEnabled </w:t>
      </w:r>
      <w:r>
        <w:rPr>
          <w:rStyle w:val="VariableTok"/>
        </w:rPr>
        <w:t xml:space="preserve">$true</w:t>
      </w:r>
      <w:r>
        <w:br/>
      </w:r>
      <w:r>
        <w:br/>
      </w:r>
      <w:r>
        <w:rPr>
          <w:rStyle w:val="CommentTok"/>
        </w:rPr>
        <w:t xml:space="preserve"># Set audit log retention to 10 years for privileged user activity</w:t>
      </w:r>
      <w:r>
        <w:br/>
      </w:r>
      <w:r>
        <w:rPr>
          <w:rStyle w:val="CommentTok"/>
        </w:rPr>
        <w:t xml:space="preserve"># Requires Purview Audit Premium license assigned to users</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"10yr-Retention-PrivilegedUsers"</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"10-year audit log retention for privileged user operations per AU-10"</w:t>
      </w:r>
      <w:r>
        <w:rPr>
          <w:rStyle w:val="NormalTok"/>
        </w:rPr>
        <w:t xml:space="preserve"> `</w:t>
      </w:r>
      <w:r>
        <w:br/>
      </w:r>
      <w:r>
        <w:rPr>
          <w:rStyle w:val="NormalTok"/>
        </w:rPr>
        <w:t xml:space="preserve">  </w:t>
      </w:r>
      <w:r>
        <w:rPr>
          <w:rStyle w:val="OperatorTok"/>
        </w:rPr>
        <w:t xml:space="preserve">-</w:t>
      </w:r>
      <w:r>
        <w:rPr>
          <w:rStyle w:val="NormalTok"/>
        </w:rPr>
        <w:t xml:space="preserve">RetentionDuration TenYears `</w:t>
      </w:r>
      <w:r>
        <w:br/>
      </w:r>
      <w:r>
        <w:rPr>
          <w:rStyle w:val="NormalTok"/>
        </w:rPr>
        <w:t xml:space="preserve">  </w:t>
      </w:r>
      <w:r>
        <w:rPr>
          <w:rStyle w:val="OperatorTok"/>
        </w:rPr>
        <w:t xml:space="preserve">-</w:t>
      </w:r>
      <w:r>
        <w:rPr>
          <w:rStyle w:val="NormalTok"/>
        </w:rPr>
        <w:t xml:space="preserve">Priority </w:t>
      </w:r>
      <w:r>
        <w:rPr>
          <w:rStyle w:val="DecValTok"/>
        </w:rPr>
        <w:t xml:space="preserve">1</w:t>
      </w:r>
      <w:r>
        <w:rPr>
          <w:rStyle w:val="NormalTok"/>
        </w:rPr>
        <w:t xml:space="preserve"> `</w:t>
      </w:r>
      <w:r>
        <w:br/>
      </w:r>
      <w:r>
        <w:rPr>
          <w:rStyle w:val="NormalTok"/>
        </w:rPr>
        <w:t xml:space="preserve">  </w:t>
      </w:r>
      <w:r>
        <w:rPr>
          <w:rStyle w:val="OperatorTok"/>
        </w:rPr>
        <w:t xml:space="preserve">-</w:t>
      </w:r>
      <w:r>
        <w:rPr>
          <w:rStyle w:val="NormalTok"/>
        </w:rPr>
        <w:t xml:space="preserve">RecordTypes </w:t>
      </w:r>
      <w:r>
        <w:rPr>
          <w:rStyle w:val="OperatorTok"/>
        </w:rPr>
        <w:t xml:space="preserve">@(</w:t>
      </w:r>
      <w:r>
        <w:br/>
      </w:r>
      <w:r>
        <w:rPr>
          <w:rStyle w:val="NormalTok"/>
        </w:rPr>
        <w:t xml:space="preserve">    </w:t>
      </w:r>
      <w:r>
        <w:rPr>
          <w:rStyle w:val="StringTok"/>
        </w:rPr>
        <w:t xml:space="preserve">"AzureActiveDirectoryAccountLogon"</w:t>
      </w:r>
      <w:r>
        <w:rPr>
          <w:rStyle w:val="OperatorTok"/>
        </w:rPr>
        <w:t xml:space="preserve">,</w:t>
      </w:r>
      <w:r>
        <w:br/>
      </w:r>
      <w:r>
        <w:rPr>
          <w:rStyle w:val="NormalTok"/>
        </w:rPr>
        <w:t xml:space="preserve">    </w:t>
      </w:r>
      <w:r>
        <w:rPr>
          <w:rStyle w:val="StringTok"/>
        </w:rPr>
        <w:t xml:space="preserve">"AzureActiveDirectoryStsLogon"</w:t>
      </w:r>
      <w:r>
        <w:rPr>
          <w:rStyle w:val="OperatorTok"/>
        </w:rPr>
        <w:t xml:space="preserve">,</w:t>
      </w:r>
      <w:r>
        <w:br/>
      </w:r>
      <w:r>
        <w:rPr>
          <w:rStyle w:val="NormalTok"/>
        </w:rPr>
        <w:t xml:space="preserve">    </w:t>
      </w:r>
      <w:r>
        <w:rPr>
          <w:rStyle w:val="StringTok"/>
        </w:rPr>
        <w:t xml:space="preserve">"ExchangeAdmin"</w:t>
      </w:r>
      <w:r>
        <w:rPr>
          <w:rStyle w:val="OperatorTok"/>
        </w:rPr>
        <w:t xml:space="preserve">,</w:t>
      </w:r>
      <w:r>
        <w:br/>
      </w:r>
      <w:r>
        <w:rPr>
          <w:rStyle w:val="NormalTok"/>
        </w:rPr>
        <w:t xml:space="preserve">    </w:t>
      </w:r>
      <w:r>
        <w:rPr>
          <w:rStyle w:val="StringTok"/>
        </w:rPr>
        <w:t xml:space="preserve">"SharePointFileOperation"</w:t>
      </w:r>
      <w:r>
        <w:rPr>
          <w:rStyle w:val="OperatorTok"/>
        </w:rPr>
        <w:t xml:space="preserve">,</w:t>
      </w:r>
      <w:r>
        <w:br/>
      </w:r>
      <w:r>
        <w:rPr>
          <w:rStyle w:val="NormalTok"/>
        </w:rPr>
        <w:t xml:space="preserve">    </w:t>
      </w:r>
      <w:r>
        <w:rPr>
          <w:rStyle w:val="StringTok"/>
        </w:rPr>
        <w:t xml:space="preserve">"SharePointSharingOperation"</w:t>
      </w:r>
      <w:r>
        <w:rPr>
          <w:rStyle w:val="OperatorTok"/>
        </w:rPr>
        <w:t xml:space="preserve">,</w:t>
      </w:r>
      <w:r>
        <w:br/>
      </w:r>
      <w:r>
        <w:rPr>
          <w:rStyle w:val="NormalTok"/>
        </w:rPr>
        <w:t xml:space="preserve">    </w:t>
      </w:r>
      <w:r>
        <w:rPr>
          <w:rStyle w:val="StringTok"/>
        </w:rPr>
        <w:t xml:space="preserve">"UnifiedAuditLogIngestion"</w:t>
      </w:r>
      <w:r>
        <w:rPr>
          <w:rStyle w:val="OperatorTok"/>
        </w:rPr>
        <w:t xml:space="preserve">,</w:t>
      </w:r>
      <w:r>
        <w:br/>
      </w:r>
      <w:r>
        <w:rPr>
          <w:rStyle w:val="NormalTok"/>
        </w:rPr>
        <w:t xml:space="preserve">    </w:t>
      </w:r>
      <w:r>
        <w:rPr>
          <w:rStyle w:val="StringTok"/>
        </w:rPr>
        <w:t xml:space="preserve">"MicrosoftTeams"</w:t>
      </w:r>
      <w:r>
        <w:rPr>
          <w:rStyle w:val="OperatorTok"/>
        </w:rPr>
        <w:t xml:space="preserve">,</w:t>
      </w:r>
      <w:r>
        <w:br/>
      </w:r>
      <w:r>
        <w:rPr>
          <w:rStyle w:val="NormalTok"/>
        </w:rPr>
        <w:t xml:space="preserve">    </w:t>
      </w:r>
      <w:r>
        <w:rPr>
          <w:rStyle w:val="StringTok"/>
        </w:rPr>
        <w:t xml:space="preserve">"InformationProtectionPolicy"</w:t>
      </w:r>
      <w:r>
        <w:br/>
      </w:r>
      <w:r>
        <w:rPr>
          <w:rStyle w:val="NormalTok"/>
        </w:rPr>
        <w:t xml:space="preserve">  </w:t>
      </w:r>
      <w:r>
        <w:rPr>
          <w:rStyle w:val="OperatorTok"/>
        </w:rPr>
        <w:t xml:space="preserve">)</w:t>
      </w:r>
      <w:r>
        <w:br/>
      </w:r>
      <w:r>
        <w:br/>
      </w:r>
      <w:r>
        <w:rPr>
          <w:rStyle w:val="CommentTok"/>
        </w:rPr>
        <w:t xml:space="preserve"># Set 1-year default retention for all other activity</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"1yr-Retention-Default"</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"1-year default audit log retention for standard operations"</w:t>
      </w:r>
      <w:r>
        <w:rPr>
          <w:rStyle w:val="NormalTok"/>
        </w:rPr>
        <w:t xml:space="preserve"> `</w:t>
      </w:r>
      <w:r>
        <w:br/>
      </w:r>
      <w:r>
        <w:rPr>
          <w:rStyle w:val="NormalTok"/>
        </w:rPr>
        <w:t xml:space="preserve">  </w:t>
      </w:r>
      <w:r>
        <w:rPr>
          <w:rStyle w:val="OperatorTok"/>
        </w:rPr>
        <w:t xml:space="preserve">-</w:t>
      </w:r>
      <w:r>
        <w:rPr>
          <w:rStyle w:val="NormalTok"/>
        </w:rPr>
        <w:t xml:space="preserve">RetentionDuration OneYear `</w:t>
      </w:r>
      <w:r>
        <w:br/>
      </w:r>
      <w:r>
        <w:rPr>
          <w:rStyle w:val="NormalTok"/>
        </w:rPr>
        <w:t xml:space="preserve">  </w:t>
      </w:r>
      <w:r>
        <w:rPr>
          <w:rStyle w:val="OperatorTok"/>
        </w:rPr>
        <w:t xml:space="preserve">-</w:t>
      </w:r>
      <w:r>
        <w:rPr>
          <w:rStyle w:val="NormalTok"/>
        </w:rPr>
        <w:t xml:space="preserve">Priority </w:t>
      </w:r>
      <w:r>
        <w:rPr>
          <w:rStyle w:val="DecValTok"/>
        </w:rPr>
        <w:t xml:space="preserve">10</w:t>
      </w:r>
      <w:r>
        <w:rPr>
          <w:rStyle w:val="NormalTok"/>
        </w:rPr>
        <w:t xml:space="preserve">  </w:t>
      </w:r>
      <w:r>
        <w:rPr>
          <w:rStyle w:val="CommentTok"/>
        </w:rPr>
        <w:t xml:space="preserve"># Lower priority = applied when no higher-priority policy matches</w:t>
      </w:r>
    </w:p>
    <w:bookmarkEnd w:id="162"/>
    <w:bookmarkStart w:id="163" w:name="Xcc069816c82365eb5335af6ac03316d9a117a55"/>
    <w:p>
      <w:pPr>
        <w:pStyle w:val="Heading2"/>
      </w:pPr>
      <w:r>
        <w:t xml:space="preserve">High-Value Audit Events Captured by Purview Audit Premium</w:t>
      </w:r>
    </w:p>
    <w:p>
      <w:pPr>
        <w:pStyle w:val="FirstParagraph"/>
      </w:pPr>
      <w:r>
        <w:t xml:space="preserve">The following event categories are captured exclusively by Purview Audit Premium (not available in standard Audit) and are relevant to AU-10 satisfaction.</w:t>
      </w:r>
    </w:p>
    <w:p>
      <w:pPr>
        <w:pStyle w:val="TableCaption"/>
      </w:pPr>
      <w:r>
        <w:t xml:space="preserve">Purview Audit Premium events relevant to AU-10 non-repudiation</w:t>
      </w:r>
    </w:p>
    <w:tbl>
      <w:tblPr>
        <w:tblStyle w:val="Table"/>
        <w:tblW w:type="pct" w:w="5000"/>
        <w:tblLayout w:type="fixed"/>
        <w:tblLook w:firstRow="1" w:lastRow="0" w:firstColumn="0" w:lastColumn="0" w:noHBand="0" w:noVBand="0" w:val="0020"/>
        <w:tblCaption w:val="Purview Audit Premium events relevant to AU-10 non-repudiation"/>
      </w:tblPr>
      <w:tblGrid>
        <w:gridCol w:w="2640"/>
        <w:gridCol w:w="2640"/>
        <w:gridCol w:w="2640"/>
      </w:tblGrid>
      <w:tr>
        <w:trPr>
          <w:tblHeader w:val="on"/>
        </w:trPr>
        <w:tc>
          <w:tcPr/>
          <w:p>
            <w:pPr>
              <w:pStyle w:val="Compact"/>
            </w:pPr>
            <w:r>
              <w:t xml:space="preserve">Event</w:t>
            </w:r>
          </w:p>
        </w:tc>
        <w:tc>
          <w:tcPr/>
          <w:p>
            <w:pPr>
              <w:pStyle w:val="Compact"/>
            </w:pPr>
            <w:r>
              <w:t xml:space="preserve">Description</w:t>
            </w:r>
          </w:p>
        </w:tc>
        <w:tc>
          <w:tcPr/>
          <w:p>
            <w:pPr>
              <w:pStyle w:val="Compact"/>
            </w:pPr>
            <w:r>
              <w:t xml:space="preserve">AU-10 Relevance</w:t>
            </w:r>
          </w:p>
        </w:tc>
      </w:tr>
      <w:tr>
        <w:tc>
          <w:tcPr/>
          <w:p>
            <w:pPr>
              <w:pStyle w:val="Compact"/>
            </w:pPr>
            <w:r>
              <w:t xml:space="preserve">MailItemsAccessed</w:t>
            </w:r>
          </w:p>
        </w:tc>
        <w:tc>
          <w:tcPr/>
          <w:p>
            <w:pPr>
              <w:pStyle w:val="Compact"/>
            </w:pPr>
            <w:r>
              <w:t xml:space="preserve">Records every protocol access to mailbox items, including by sync clients</w:t>
            </w:r>
          </w:p>
        </w:tc>
        <w:tc>
          <w:tcPr/>
          <w:p>
            <w:pPr>
              <w:pStyle w:val="Compact"/>
            </w:pPr>
            <w:r>
              <w:t xml:space="preserve">Proves a specific mailbox item was accessed by a specific user at a specific time</w:t>
            </w:r>
          </w:p>
        </w:tc>
      </w:tr>
      <w:tr>
        <w:tc>
          <w:tcPr/>
          <w:p>
            <w:pPr>
              <w:pStyle w:val="Compact"/>
            </w:pPr>
            <w:r>
              <w:t xml:space="preserve">SearchQueryInitiatedExchange</w:t>
            </w:r>
          </w:p>
        </w:tc>
        <w:tc>
          <w:tcPr/>
          <w:p>
            <w:pPr>
              <w:pStyle w:val="Compact"/>
            </w:pPr>
            <w:r>
              <w:t xml:space="preserve">Records the exact search query submitted to Exchange</w:t>
            </w:r>
          </w:p>
        </w:tc>
        <w:tc>
          <w:tcPr/>
          <w:p>
            <w:pPr>
              <w:pStyle w:val="Compact"/>
            </w:pPr>
            <w:r>
              <w:t xml:space="preserve">Proves targeted searches for sensitive data</w:t>
            </w:r>
          </w:p>
        </w:tc>
      </w:tr>
      <w:tr>
        <w:tc>
          <w:tcPr/>
          <w:p>
            <w:pPr>
              <w:pStyle w:val="Compact"/>
            </w:pPr>
            <w:r>
              <w:t xml:space="preserve">SearchQueryInitiatedSharePoint</w:t>
            </w:r>
          </w:p>
        </w:tc>
        <w:tc>
          <w:tcPr/>
          <w:p>
            <w:pPr>
              <w:pStyle w:val="Compact"/>
            </w:pPr>
            <w:r>
              <w:t xml:space="preserve">Records exact SharePoint search queries</w:t>
            </w:r>
          </w:p>
        </w:tc>
        <w:tc>
          <w:tcPr/>
          <w:p>
            <w:pPr>
              <w:pStyle w:val="Compact"/>
            </w:pPr>
            <w:r>
              <w:t xml:space="preserve">Proves targeted content discovery</w:t>
            </w:r>
          </w:p>
        </w:tc>
      </w:tr>
      <w:tr>
        <w:tc>
          <w:tcPr/>
          <w:p>
            <w:pPr>
              <w:pStyle w:val="Compact"/>
            </w:pPr>
            <w:r>
              <w:t xml:space="preserve">Send</w:t>
            </w:r>
          </w:p>
        </w:tc>
        <w:tc>
          <w:tcPr/>
          <w:p>
            <w:pPr>
              <w:pStyle w:val="Compact"/>
            </w:pPr>
            <w:r>
              <w:t xml:space="preserve">Records outbound email send with message ID</w:t>
            </w:r>
          </w:p>
        </w:tc>
        <w:tc>
          <w:tcPr/>
          <w:p>
            <w:pPr>
              <w:pStyle w:val="Compact"/>
            </w:pPr>
            <w:r>
              <w:t xml:space="preserve">Non-repudiation for email delivery</w:t>
            </w:r>
          </w:p>
        </w:tc>
      </w:tr>
      <w:tr>
        <w:tc>
          <w:tcPr/>
          <w:p>
            <w:pPr>
              <w:pStyle w:val="Compact"/>
            </w:pPr>
            <w:r>
              <w:t xml:space="preserve">FileDownloaded</w:t>
            </w:r>
          </w:p>
        </w:tc>
        <w:tc>
          <w:tcPr/>
          <w:p>
            <w:pPr>
              <w:pStyle w:val="Compact"/>
            </w:pPr>
            <w:r>
              <w:t xml:space="preserve">Records file downloads from SharePoint with file path and user</w:t>
            </w:r>
          </w:p>
        </w:tc>
        <w:tc>
          <w:tcPr/>
          <w:p>
            <w:pPr>
              <w:pStyle w:val="Compact"/>
            </w:pPr>
            <w:r>
              <w:t xml:space="preserve">Non-repudiation for data exfiltration investigation</w:t>
            </w:r>
          </w:p>
        </w:tc>
      </w:tr>
      <w:tr>
        <w:tc>
          <w:tcPr/>
          <w:p>
            <w:pPr>
              <w:pStyle w:val="Compact"/>
            </w:pPr>
            <w:r>
              <w:t xml:space="preserve">SensitivityLabelApplied</w:t>
            </w:r>
          </w:p>
        </w:tc>
        <w:tc>
          <w:tcPr/>
          <w:p>
            <w:pPr>
              <w:pStyle w:val="Compact"/>
            </w:pPr>
            <w:r>
              <w:t xml:space="preserve">Records label application events with user, file, and label</w:t>
            </w:r>
          </w:p>
        </w:tc>
        <w:tc>
          <w:tcPr/>
          <w:p>
            <w:pPr>
              <w:pStyle w:val="Compact"/>
            </w:pPr>
            <w:r>
              <w:t xml:space="preserve">Proves classification actions</w:t>
            </w:r>
          </w:p>
        </w:tc>
      </w:tr>
      <w:tr>
        <w:tc>
          <w:tcPr/>
          <w:p>
            <w:pPr>
              <w:pStyle w:val="Compact"/>
            </w:pPr>
            <w:r>
              <w:t xml:space="preserve">SensitivityLabelUpdated</w:t>
            </w:r>
          </w:p>
        </w:tc>
        <w:tc>
          <w:tcPr/>
          <w:p>
            <w:pPr>
              <w:pStyle w:val="Compact"/>
            </w:pPr>
            <w:r>
              <w:t xml:space="preserve">Records label change events</w:t>
            </w:r>
          </w:p>
        </w:tc>
        <w:tc>
          <w:tcPr/>
          <w:p>
            <w:pPr>
              <w:pStyle w:val="Compact"/>
            </w:pPr>
            <w:r>
              <w:t xml:space="preserve">Detects label downgrade attacks</w:t>
            </w:r>
          </w:p>
        </w:tc>
      </w:tr>
    </w:tbl>
    <w:bookmarkEnd w:id="163"/>
    <w:bookmarkStart w:id="164" w:name="querying-purview-audit-logs"/>
    <w:p>
      <w:pPr>
        <w:pStyle w:val="Heading2"/>
      </w:pPr>
      <w:r>
        <w:t xml:space="preserve">Querying Purview Audit Logs</w:t>
      </w:r>
    </w:p>
    <w:p>
      <w:pPr>
        <w:pStyle w:val="SourceCode"/>
      </w:pPr>
      <w:r>
        <w:rPr>
          <w:rStyle w:val="CommentTok"/>
        </w:rPr>
        <w:t xml:space="preserve"># Query audit log for MailItemsAccessed events in the past 7 days</w:t>
      </w:r>
      <w:r>
        <w:br/>
      </w:r>
      <w:r>
        <w:rPr>
          <w:rStyle w:val="CommentTok"/>
        </w:rPr>
        <w:t xml:space="preserve"># This event is only available in Purview Audit Premium</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7</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VariableTok"/>
        </w:rPr>
        <w:t xml:space="preserve">$endDate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ExchangeItemAggregated `</w:t>
      </w:r>
      <w:r>
        <w:br/>
      </w:r>
      <w:r>
        <w:rPr>
          <w:rStyle w:val="NormalTok"/>
        </w:rPr>
        <w:t xml:space="preserve">  </w:t>
      </w:r>
      <w:r>
        <w:rPr>
          <w:rStyle w:val="OperatorTok"/>
        </w:rPr>
        <w:t xml:space="preserve">-</w:t>
      </w:r>
      <w:r>
        <w:rPr>
          <w:rStyle w:val="NormalTok"/>
        </w:rPr>
        <w:t xml:space="preserve">Operations </w:t>
      </w:r>
      <w:r>
        <w:rPr>
          <w:rStyle w:val="StringTok"/>
        </w:rPr>
        <w:t xml:space="preserve">"MailItemsAccessed"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"AuditData"</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AuditData</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"C:\AuditExports\MailItemsAccessed_7d.csv"</w:t>
      </w:r>
      <w:r>
        <w:rPr>
          <w:rStyle w:val="NormalTok"/>
        </w:rPr>
        <w:t xml:space="preserve"> </w:t>
      </w:r>
      <w:r>
        <w:rPr>
          <w:rStyle w:val="OperatorTok"/>
        </w:rPr>
        <w:t xml:space="preserve">-</w:t>
      </w:r>
      <w:r>
        <w:rPr>
          <w:rStyle w:val="NormalTok"/>
        </w:rPr>
        <w:t xml:space="preserve">NoTypeInformation</w:t>
      </w:r>
      <w:r>
        <w:br/>
      </w:r>
      <w:r>
        <w:br/>
      </w:r>
      <w:r>
        <w:rPr>
          <w:rStyle w:val="CommentTok"/>
        </w:rPr>
        <w:t xml:space="preserve"># Query for sensitivity label changes (detect label downgrade)</w:t>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AipDiscover</w:t>
      </w:r>
      <w:r>
        <w:rPr>
          <w:rStyle w:val="OperatorTok"/>
        </w:rPr>
        <w:t xml:space="preserve">,</w:t>
      </w:r>
      <w:r>
        <w:rPr>
          <w:rStyle w:val="NormalTok"/>
        </w:rPr>
        <w:t xml:space="preserve"> AipSensitivityLabelAction `</w:t>
      </w:r>
      <w:r>
        <w:br/>
      </w:r>
      <w:r>
        <w:rPr>
          <w:rStyle w:val="NormalTok"/>
        </w:rPr>
        <w:t xml:space="preserve">  </w:t>
      </w:r>
      <w:r>
        <w:rPr>
          <w:rStyle w:val="OperatorTok"/>
        </w:rPr>
        <w:t xml:space="preserve">-</w:t>
      </w:r>
      <w:r>
        <w:rPr>
          <w:rStyle w:val="NormalTok"/>
        </w:rPr>
        <w:t xml:space="preserve">Operations </w:t>
      </w:r>
      <w:r>
        <w:rPr>
          <w:rStyle w:val="StringTok"/>
        </w:rPr>
        <w:t xml:space="preserve">"SensitivityLabelUpdated"</w:t>
      </w:r>
      <w:r>
        <w:rPr>
          <w:rStyle w:val="OperatorTok"/>
        </w:rPr>
        <w:t xml:space="preserve">,</w:t>
      </w:r>
      <w:r>
        <w:rPr>
          <w:rStyle w:val="StringTok"/>
        </w:rPr>
        <w:t xml:space="preserve">"SensitivityLabelRemoved"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rPr>
          <w:rStyle w:val="NormalTok"/>
        </w:rPr>
        <w:t xml:space="preserve"> AuditData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"C:\AuditExports\LabelChanges_7d.csv"</w:t>
      </w:r>
      <w:r>
        <w:rPr>
          <w:rStyle w:val="NormalTok"/>
        </w:rPr>
        <w:t xml:space="preserve"> </w:t>
      </w:r>
      <w:r>
        <w:rPr>
          <w:rStyle w:val="OperatorTok"/>
        </w:rPr>
        <w:t xml:space="preserve">-</w:t>
      </w:r>
      <w:r>
        <w:rPr>
          <w:rStyle w:val="NormalTok"/>
        </w:rPr>
        <w:t xml:space="preserve">NoTypeInformation</w:t>
      </w:r>
    </w:p>
    <w:p>
      <w:pPr>
        <w:pStyle w:val="FirstParagraph"/>
      </w:pPr>
      <w:r>
        <w:rPr>
          <w:b/>
          <w:bCs/>
        </w:rPr>
        <w:t xml:space="preserve">AU-10 vs AU-12 Distinction</w:t>
      </w:r>
      <w:r>
        <w:t xml:space="preserve"> </w:t>
      </w:r>
      <w:r>
        <w:t xml:space="preserve">— AU-12 (audit generation) requires the system to generate audit records for defined events. Volumes I and II, together with the Privileged Access Management and Vulnerability Management books of Volume III, satisfy AU-12 through Defender for Endpoint, Azure Monitor, and the Microsoft Sentinel SIEM deployed in Vol III Book 06. AU-10 (non-repudiation) requires that those records be</w:t>
      </w:r>
      <w:r>
        <w:t xml:space="preserve"> </w:t>
      </w:r>
      <w:r>
        <w:rPr>
          <w:i/>
          <w:iCs/>
        </w:rPr>
        <w:t xml:space="preserve">irrefutable</w:t>
      </w:r>
      <w:r>
        <w:t xml:space="preserve">. Standard audit logs in Log Analytics are mutable by a Global Administrator. Purview Audit Premium’s immutable, signed records are required specifically for the AU-10 control. Both controls are needed; they are satisfied by different mechanisms.</w:t>
      </w:r>
    </w:p>
    <w:bookmarkEnd w:id="164"/>
    <w:bookmarkEnd w:id="165"/>
    <w:bookmarkStart w:id="170" w:name="certificate-practice-statement"/>
    <w:p>
      <w:pPr>
        <w:pStyle w:val="Heading1"/>
      </w:pPr>
      <w:r>
        <w:t xml:space="preserve">Certificate Practice Statement</w:t>
      </w:r>
    </w:p>
    <w:bookmarkStart w:id="166" w:name="sc-17-requirements"/>
    <w:p>
      <w:pPr>
        <w:pStyle w:val="Heading2"/>
      </w:pPr>
      <w:r>
        <w:t xml:space="preserve">SC-17 Requirements</w:t>
      </w:r>
    </w:p>
    <w:p>
      <w:pPr>
        <w:pStyle w:val="FirstParagraph"/>
      </w:pPr>
      <w:r>
        <w:t xml:space="preserve">NIST SP 800-53 Rev 5 SC-17 states:</w:t>
      </w:r>
      <w:r>
        <w:t xml:space="preserve"> </w:t>
      </w:r>
      <w:r>
        <w:t xml:space="preserve">“a. Issue public key certificates under an [Assignment: organization-defined certificate policy] or obtain public key certificates from an approved service provider; and b. Include only approved trust anchors in trust stores or certificate stores managed by the organization.”</w:t>
      </w:r>
    </w:p>
    <w:p>
      <w:pPr>
        <w:pStyle w:val="BodyText"/>
      </w:pPr>
      <w:r>
        <w:t xml:space="preserve">The key element is the organization-defined certificate policy in part (a). SC-17 is not satisfied merely by having certificates. It requires a</w:t>
      </w:r>
      <w:r>
        <w:t xml:space="preserve"> </w:t>
      </w:r>
      <w:r>
        <w:rPr>
          <w:i/>
          <w:iCs/>
        </w:rPr>
        <w:t xml:space="preserve">documented policy</w:t>
      </w:r>
      <w:r>
        <w:t xml:space="preserve"> </w:t>
      </w:r>
      <w:r>
        <w:t xml:space="preserve">governing the certificate lifecycle: how certificates are issued, who may request them, how private keys are protected, how certificates are revoked, and what happens to keys after expiration. This documented policy is called a Certificate Practice Statement (CPS). Part (b) adds a distinct obligation — trust-anchor management — addressed in the</w:t>
      </w:r>
      <w:r>
        <w:t xml:space="preserve"> </w:t>
      </w:r>
      <w:r>
        <w:t xml:space="preserve">“Trust-Anchor Management”</w:t>
      </w:r>
      <w:r>
        <w:t xml:space="preserve"> </w:t>
      </w:r>
      <w:r>
        <w:t xml:space="preserve">subsection below.</w:t>
      </w:r>
    </w:p>
    <w:p>
      <w:pPr>
        <w:pStyle w:val="BodyText"/>
      </w:pPr>
      <w:r>
        <w:t xml:space="preserve">Without a CPS, an assessor cannot determine whether the agency’s certificate infrastructure provides any assurance beyond</w:t>
      </w:r>
      <w:r>
        <w:t xml:space="preserve"> </w:t>
      </w:r>
      <w:r>
        <w:t xml:space="preserve">“we have a CA.”</w:t>
      </w:r>
      <w:r>
        <w:t xml:space="preserve"> </w:t>
      </w:r>
      <w:r>
        <w:t xml:space="preserve">Certificates could be issued to any requestor, private keys could be stored anywhere, revocation might not be checked, and there is no accountability framework. The CPS is the governance artifact that converts a CA deployment into an SC-17-satisfying PKI.</w:t>
      </w:r>
    </w:p>
    <w:bookmarkEnd w:id="166"/>
    <w:bookmarkStart w:id="167" w:name="cps-structure-per-rfc-3647"/>
    <w:p>
      <w:pPr>
        <w:pStyle w:val="Heading2"/>
      </w:pPr>
      <w:r>
        <w:t xml:space="preserve">CPS Structure per RFC 3647</w:t>
      </w:r>
    </w:p>
    <w:p>
      <w:pPr>
        <w:pStyle w:val="FirstParagraph"/>
      </w:pPr>
      <w:r>
        <w:t xml:space="preserve">RFC 3647 provides the standard framework for CPS documentation. A federal agency CPS must address the following sections:</w:t>
      </w:r>
    </w:p>
    <w:p>
      <w:pPr>
        <w:pStyle w:val="BodyText"/>
      </w:pPr>
      <w:r>
        <w:rPr>
          <w:b/>
          <w:bCs/>
        </w:rPr>
        <w:t xml:space="preserve">Section 1 — Introduction.</w:t>
      </w:r>
      <w:r>
        <w:t xml:space="preserve"> </w:t>
      </w:r>
      <w:r>
        <w:t xml:space="preserve">Identifies the document, the CA hierarchy it governs (Root CA name, Issuing CA name), the applicable certificate policies (CP OID values), and the community of relying parties.</w:t>
      </w:r>
    </w:p>
    <w:p>
      <w:pPr>
        <w:pStyle w:val="BodyText"/>
      </w:pPr>
      <w:r>
        <w:rPr>
          <w:b/>
          <w:bCs/>
        </w:rPr>
        <w:t xml:space="preserve">Section 2 — Publication and Repository Responsibilities.</w:t>
      </w:r>
      <w:r>
        <w:t xml:space="preserve"> </w:t>
      </w:r>
      <w:r>
        <w:t xml:space="preserve">Identifies where the CPS is published, where the CA certificate and CRL/OCSP are published, and the update cycle for each.</w:t>
      </w:r>
    </w:p>
    <w:p>
      <w:pPr>
        <w:pStyle w:val="BodyText"/>
      </w:pPr>
      <w:r>
        <w:rPr>
          <w:b/>
          <w:bCs/>
        </w:rPr>
        <w:t xml:space="preserve">Section 3 — Identification and Authentication.</w:t>
      </w:r>
      <w:r>
        <w:t xml:space="preserve"> </w:t>
      </w:r>
      <w:r>
        <w:t xml:space="preserve">Defines how subscriber identity is verified before certificate issuance: for device certificates, the device must be Entra-joined with a compliant Hybrid Entra ID join; for user certificates, the requestor must authenticate with MFA against the issuing CA’s enrollment service.</w:t>
      </w:r>
    </w:p>
    <w:p>
      <w:pPr>
        <w:pStyle w:val="BodyText"/>
      </w:pPr>
      <w:r>
        <w:rPr>
          <w:b/>
          <w:bCs/>
        </w:rPr>
        <w:t xml:space="preserve">Section 4 — Certificate Life-Cycle Operational Requirements.</w:t>
      </w:r>
      <w:r>
        <w:t xml:space="preserve"> </w:t>
      </w:r>
      <w:r>
        <w:t xml:space="preserve">Covers: certificate application (how to request); certificate issuance (automated via SCEP/NDES or manual); certificate acceptance (subscriber acknowledgment); key pair and certificate usage (specific key usage bits for each certificate class); certificate renewal (before expiration, with re-authentication); certificate modification; certificate suspension and revocation (conditions triggering revocation, timeline for CRL publication after revocation, OCSP availability SLA); certificate status services (CRL distribution point URL, OCSP URL); and end of subscription.</w:t>
      </w:r>
    </w:p>
    <w:p>
      <w:pPr>
        <w:pStyle w:val="BodyText"/>
      </w:pPr>
      <w:r>
        <w:rPr>
          <w:b/>
          <w:bCs/>
        </w:rPr>
        <w:t xml:space="preserve">Section 5 — Management, Operational, and Physical Controls.</w:t>
      </w:r>
      <w:r>
        <w:t xml:space="preserve"> </w:t>
      </w:r>
      <w:r>
        <w:t xml:space="preserve">Physical security of the CA, personnel security requirements for CA operators, audit logging of CA operations, records archival, and disaster recovery.</w:t>
      </w:r>
    </w:p>
    <w:p>
      <w:pPr>
        <w:pStyle w:val="BodyText"/>
      </w:pPr>
      <w:r>
        <w:rPr>
          <w:b/>
          <w:bCs/>
        </w:rPr>
        <w:t xml:space="preserve">Section 6 — Technical Security Controls.</w:t>
      </w:r>
      <w:r>
        <w:t xml:space="preserve"> </w:t>
      </w:r>
      <w:r>
        <w:t xml:space="preserve">Key pair generation (HSM requirement for root and issuing CA private keys), private key protection, key backup (escrow conditions), key archival, key transport, key destruction, cryptographic module engineering controls (FIPS 140-3 validated minimum; FIPS 140-2 modules only while they remain on the CMVP Active list, pending the 2026-09-21 Historical transition), and algorithm and key length requirements (RSA 2048 minimum; SHA-256 minimum).</w:t>
      </w:r>
    </w:p>
    <w:p>
      <w:pPr>
        <w:pStyle w:val="BodyText"/>
      </w:pPr>
      <w:r>
        <w:rPr>
          <w:b/>
          <w:bCs/>
        </w:rPr>
        <w:t xml:space="preserve">Section 7 — Certificate, CRL, and OCSP Profiles.</w:t>
      </w:r>
      <w:r>
        <w:t xml:space="preserve"> </w:t>
      </w:r>
      <w:r>
        <w:t xml:space="preserve">Defines the exact ASN.1 structure of issued certificates — which extensions are present, critical or non-critical, and what values they carry.</w:t>
      </w:r>
    </w:p>
    <w:p>
      <w:pPr>
        <w:pStyle w:val="BodyText"/>
      </w:pPr>
      <w:r>
        <w:rPr>
          <w:b/>
          <w:bCs/>
        </w:rPr>
        <w:t xml:space="preserve">Section 8 — Compliance Audit and Other Assessments.</w:t>
      </w:r>
      <w:r>
        <w:t xml:space="preserve"> </w:t>
      </w:r>
      <w:r>
        <w:t xml:space="preserve">Frequency of compliance audits, scope of audits, and who may perform them.</w:t>
      </w:r>
    </w:p>
    <w:p>
      <w:pPr>
        <w:pStyle w:val="BodyText"/>
      </w:pPr>
      <w:r>
        <w:rPr>
          <w:b/>
          <w:bCs/>
        </w:rPr>
        <w:t xml:space="preserve">Section 9 — Other Business and Legal Matters.</w:t>
      </w:r>
      <w:r>
        <w:t xml:space="preserve"> </w:t>
      </w:r>
      <w:r>
        <w:t xml:space="preserve">Fees, financial responsibility, confidentiality of business information, intellectual property, representations and warranties, disclaimers, limitations of liability, term and termination, individual notices, dispute resolution, and governing law.</w:t>
      </w:r>
    </w:p>
    <w:bookmarkEnd w:id="167"/>
    <w:bookmarkStart w:id="168" w:name="X9393e8975ee02153761a2c820da193b08567a4b"/>
    <w:p>
      <w:pPr>
        <w:pStyle w:val="Heading2"/>
      </w:pPr>
      <w:r>
        <w:t xml:space="preserve">How InfoBlox PKI and Azure Key Vault Satisfy SC-17 Together</w:t>
      </w:r>
    </w:p>
    <w:p>
      <w:pPr>
        <w:pStyle w:val="FirstParagraph"/>
      </w:pPr>
      <w:r>
        <w:t xml:space="preserve">The PKI infrastructure established in Vol I Book 01 of this series (InfoBlox DDI/PKI Landing Zone) and the Azure Key Vault established in this part together satisfy SC-17 when governed by a documented CPS.</w:t>
      </w:r>
    </w:p>
    <w:p>
      <w:pPr>
        <w:pStyle w:val="BodyText"/>
      </w:pPr>
      <w:r>
        <w:t xml:space="preserve">InfoBlox provides the IPAM and DNS foundation that certificate infrastructure depends on: the CA’s CRL Distribution Point must resolve via DNS; the OCSP Responder must have a stable IP address registered in IPAM. Without accurate IPAM and DNS, certificate revocation is not operationally reliable — clients cannot reach the CRL or OCSP endpoint, and revoked certificates may be accepted as valid.</w:t>
      </w:r>
    </w:p>
    <w:p>
      <w:pPr>
        <w:pStyle w:val="BodyText"/>
      </w:pPr>
      <w:r>
        <w:t xml:space="preserve">Azure Key Vault provides the HSM-backed private key storage for the issuing CA. The CA software (Active Directory Certificate Services or a third-party CA) is configured to store and use the signing key in Key Vault, never in the CA’s local Windows Certificate Store. Key access is governed by Managed Identity RBAC, and all key operations are logged to the Key Vault audit log. This configuration satisfies Section 6 of the CPS (technical security controls) — the private key never exists in unprotected software storage.</w:t>
      </w:r>
    </w:p>
    <w:p>
      <w:pPr>
        <w:pStyle w:val="BodyText"/>
      </w:pPr>
      <w:r>
        <w:t xml:space="preserve">The CPS documents both of these dependencies explicitly: Section 2 specifies the DNS names for CRL and OCSP endpoints that are registered in InfoBlox IPAM; Section 6 specifies that CA private keys are stored in Azure Key Vault Premium (HSM tier) and are not exportable.</w:t>
      </w:r>
    </w:p>
    <w:bookmarkEnd w:id="168"/>
    <w:bookmarkStart w:id="169" w:name="trust-anchor-management-sc-17-part-b"/>
    <w:p>
      <w:pPr>
        <w:pStyle w:val="Heading2"/>
      </w:pPr>
      <w:r>
        <w:t xml:space="preserve">Trust-Anchor Management (SC-17 part b)</w:t>
      </w:r>
    </w:p>
    <w:p>
      <w:pPr>
        <w:pStyle w:val="FirstParagraph"/>
      </w:pPr>
      <w:r>
        <w:t xml:space="preserve">SC-17 part (b) requires that the organization include</w:t>
      </w:r>
      <w:r>
        <w:t xml:space="preserve"> </w:t>
      </w:r>
      <w:r>
        <w:rPr>
          <w:i/>
          <w:iCs/>
        </w:rPr>
        <w:t xml:space="preserve">only approved trust anchors</w:t>
      </w:r>
      <w:r>
        <w:t xml:space="preserve"> </w:t>
      </w:r>
      <w:r>
        <w:t xml:space="preserve">in the trust stores and certificate stores it manages. Issuing a well-governed certificate hierarchy (part a) does not by itself satisfy this: an endpoint that trusts an unapproved or compromised root will accept forged certificates regardless of how carefully the agency’s own CA is run. The agency therefore maintains an approved trust-anchor list — the agency Root CA plus any explicitly authorized external roots (for example, the Federal PKI Common Policy root where cross-certification applies) — and distributes it as the authoritative trusted-root set to managed devices via Intune configuration profiles (Windows) and equivalent MDM payloads. Unmanaged additions to the trusted-root store are prevented by device configuration policy, and the approved list is reviewed on the same cycle as the CPS. This trust-store curation is what closes SC-17 part (b); the CPS closes part (a).</w:t>
      </w:r>
    </w:p>
    <w:p>
      <w:pPr>
        <w:pStyle w:val="SourceCode"/>
      </w:pPr>
      <w:r>
        <w:rPr>
          <w:rStyle w:val="CommentTok"/>
        </w:rPr>
        <w:t xml:space="preserve"># Verify CRL Distribution Point is resolvable (operational check for SC-17)</w:t>
      </w:r>
      <w:r>
        <w:br/>
      </w:r>
      <w:r>
        <w:rPr>
          <w:rStyle w:val="VariableTok"/>
        </w:rPr>
        <w:t xml:space="preserve">$issuerCert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Cert</w:t>
      </w:r>
      <w:r>
        <w:rPr>
          <w:rStyle w:val="OperatorTok"/>
        </w:rPr>
        <w:t xml:space="preserve">:</w:t>
      </w:r>
      <w:r>
        <w:rPr>
          <w:rStyle w:val="NormalTok"/>
        </w:rPr>
        <w:t xml:space="preserve">\LocalMachine\CA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Subject</w:t>
      </w:r>
      <w:r>
        <w:rPr>
          <w:rStyle w:val="NormalTok"/>
        </w:rPr>
        <w:t xml:space="preserve"> </w:t>
      </w:r>
      <w:r>
        <w:rPr>
          <w:rStyle w:val="OperatorTok"/>
        </w:rPr>
        <w:t xml:space="preserve">-like</w:t>
      </w:r>
      <w:r>
        <w:rPr>
          <w:rStyle w:val="NormalTok"/>
        </w:rPr>
        <w:t xml:space="preserve"> </w:t>
      </w:r>
      <w:r>
        <w:rPr>
          <w:rStyle w:val="StringTok"/>
        </w:rPr>
        <w:t xml:space="preserve">"*Agency-IssuingCA*"</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CommentTok"/>
        </w:rPr>
        <w:t xml:space="preserve"># Extract CRL Distribution Point URLs from the issuing CA certificate</w:t>
      </w:r>
      <w:r>
        <w:br/>
      </w:r>
      <w:r>
        <w:rPr>
          <w:rStyle w:val="VariableTok"/>
        </w:rPr>
        <w:t xml:space="preserve">$crlOid</w:t>
      </w:r>
      <w:r>
        <w:rPr>
          <w:rStyle w:val="NormalTok"/>
        </w:rPr>
        <w:t xml:space="preserve"> </w:t>
      </w:r>
      <w:r>
        <w:rPr>
          <w:rStyle w:val="OperatorTok"/>
        </w:rPr>
        <w:t xml:space="preserve">=</w:t>
      </w:r>
      <w:r>
        <w:rPr>
          <w:rStyle w:val="NormalTok"/>
        </w:rPr>
        <w:t xml:space="preserve"> </w:t>
      </w:r>
      <w:r>
        <w:rPr>
          <w:rStyle w:val="StringTok"/>
        </w:rPr>
        <w:t xml:space="preserve">"2.5.29.31"</w:t>
      </w:r>
      <w:r>
        <w:rPr>
          <w:rStyle w:val="NormalTok"/>
        </w:rPr>
        <w:t xml:space="preserve">  </w:t>
      </w:r>
      <w:r>
        <w:rPr>
          <w:rStyle w:val="CommentTok"/>
        </w:rPr>
        <w:t xml:space="preserve"># OID for CRL Distribution Points</w:t>
      </w:r>
      <w:r>
        <w:br/>
      </w:r>
      <w:r>
        <w:rPr>
          <w:rStyle w:val="VariableTok"/>
        </w:rPr>
        <w:t xml:space="preserve">$crlExtension</w:t>
      </w:r>
      <w:r>
        <w:rPr>
          <w:rStyle w:val="NormalTok"/>
        </w:rPr>
        <w:t xml:space="preserve"> </w:t>
      </w:r>
      <w:r>
        <w:rPr>
          <w:rStyle w:val="OperatorTok"/>
        </w:rPr>
        <w:t xml:space="preserve">=</w:t>
      </w:r>
      <w:r>
        <w:rPr>
          <w:rStyle w:val="NormalTok"/>
        </w:rPr>
        <w:t xml:space="preserve"> </w:t>
      </w:r>
      <w:r>
        <w:rPr>
          <w:rStyle w:val="VariableTok"/>
        </w:rPr>
        <w:t xml:space="preserve">$issuerCert</w:t>
      </w:r>
      <w:r>
        <w:rPr>
          <w:rStyle w:val="OperatorTok"/>
        </w:rPr>
        <w:t xml:space="preserve">.</w:t>
      </w:r>
      <w:r>
        <w:rPr>
          <w:rStyle w:val="FunctionTok"/>
        </w:rPr>
        <w:t xml:space="preserve">Extensions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Oid</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VariableTok"/>
        </w:rPr>
        <w:t xml:space="preserve">$crlOid</w:t>
      </w:r>
      <w:r>
        <w:rPr>
          <w:rStyle w:val="NormalTok"/>
        </w:rPr>
        <w:t xml:space="preserve"> </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VariableTok"/>
        </w:rPr>
        <w:t xml:space="preserve">$crlExtension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"CRL Distribution Points found in issuing CA certificate"</w:t>
      </w:r>
      <w:r>
        <w:br/>
      </w:r>
      <w:r>
        <w:rPr>
          <w:rStyle w:val="NormalTok"/>
        </w:rPr>
        <w:t xml:space="preserve">  </w:t>
      </w:r>
      <w:r>
        <w:rPr>
          <w:rStyle w:val="CommentTok"/>
        </w:rPr>
        <w:t xml:space="preserve"># Parse and test each CDP URL</w:t>
      </w:r>
      <w:r>
        <w:br/>
      </w:r>
      <w:r>
        <w:rPr>
          <w:rStyle w:val="NormalTok"/>
        </w:rPr>
        <w:t xml:space="preserve">  </w:t>
      </w:r>
      <w:r>
        <w:rPr>
          <w:rStyle w:val="VariableTok"/>
        </w:rPr>
        <w:t xml:space="preserve">$asnData</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AsnEncodedData</w:t>
      </w:r>
      <w:r>
        <w:rPr>
          <w:rStyle w:val="NormalTok"/>
        </w:rPr>
        <w:t xml:space="preserve"> `</w:t>
      </w:r>
      <w:r>
        <w:br/>
      </w:r>
      <w:r>
        <w:rPr>
          <w:rStyle w:val="NormalTok"/>
        </w:rPr>
        <w:t xml:space="preserve">    </w:t>
      </w:r>
      <w:r>
        <w:rPr>
          <w:rStyle w:val="OperatorTok"/>
        </w:rPr>
        <w:t xml:space="preserve">-</w:t>
      </w:r>
      <w:r>
        <w:rPr>
          <w:rStyle w:val="NormalTok"/>
        </w:rPr>
        <w:t xml:space="preserve">ArgumentList </w:t>
      </w:r>
      <w:r>
        <w:rPr>
          <w:rStyle w:val="OperatorTok"/>
        </w:rPr>
        <w:t xml:space="preserve">(</w:t>
      </w:r>
      <w:r>
        <w:rPr>
          <w:rStyle w:val="VariableTok"/>
        </w:rPr>
        <w:t xml:space="preserve">$crlExtension</w:t>
      </w:r>
      <w:r>
        <w:rPr>
          <w:rStyle w:val="OperatorTok"/>
        </w:rPr>
        <w:t xml:space="preserve">.</w:t>
      </w:r>
      <w:r>
        <w:rPr>
          <w:rStyle w:val="FunctionTok"/>
        </w:rPr>
        <w:t xml:space="preserve">Oid</w:t>
      </w:r>
      <w:r>
        <w:rPr>
          <w:rStyle w:val="OperatorTok"/>
        </w:rPr>
        <w:t xml:space="preserve">,</w:t>
      </w:r>
      <w:r>
        <w:rPr>
          <w:rStyle w:val="NormalTok"/>
        </w:rPr>
        <w:t xml:space="preserve"> </w:t>
      </w:r>
      <w:r>
        <w:rPr>
          <w:rStyle w:val="VariableTok"/>
        </w:rPr>
        <w:t xml:space="preserve">$crlExtension</w:t>
      </w:r>
      <w:r>
        <w:rPr>
          <w:rStyle w:val="OperatorTok"/>
        </w:rPr>
        <w:t xml:space="preserve">.</w:t>
      </w:r>
      <w:r>
        <w:rPr>
          <w:rStyle w:val="FunctionTok"/>
        </w:rPr>
        <w:t xml:space="preserve">RawData</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VariableTok"/>
        </w:rPr>
        <w:t xml:space="preserve">$asnData</w:t>
      </w:r>
      <w:r>
        <w:rPr>
          <w:rStyle w:val="OperatorTok"/>
        </w:rPr>
        <w:t xml:space="preserve">.</w:t>
      </w:r>
      <w:r>
        <w:rPr>
          <w:rStyle w:val="FunctionTok"/>
        </w:rPr>
        <w:t xml:space="preserve">Format</w:t>
      </w:r>
      <w:r>
        <w:rPr>
          <w:rStyle w:val="OperatorTok"/>
        </w:rPr>
        <w:t xml:space="preserve">(</w:t>
      </w:r>
      <w:r>
        <w:rPr>
          <w:rStyle w:val="VariableTok"/>
        </w:rPr>
        <w:t xml:space="preserve">$true</w:t>
      </w:r>
      <w:r>
        <w:rPr>
          <w:rStyle w:val="OperatorTok"/>
        </w:rPr>
        <w:t xml:space="preserve">)</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"No CRL Distribution Point extension found — SC-17 gap"</w:t>
      </w:r>
      <w:r>
        <w:br/>
      </w:r>
      <w:r>
        <w:rPr>
          <w:rStyle w:val="OperatorTok"/>
        </w:rPr>
        <w:t xml:space="preserve">}</w:t>
      </w:r>
      <w:r>
        <w:br/>
      </w:r>
      <w:r>
        <w:br/>
      </w:r>
      <w:r>
        <w:rPr>
          <w:rStyle w:val="CommentTok"/>
        </w:rPr>
        <w:t xml:space="preserve"># Test OCSP responder availability</w:t>
      </w:r>
      <w:r>
        <w:br/>
      </w:r>
      <w:r>
        <w:rPr>
          <w:rStyle w:val="VariableTok"/>
        </w:rPr>
        <w:t xml:space="preserve">$ocspUrl</w:t>
      </w:r>
      <w:r>
        <w:rPr>
          <w:rStyle w:val="NormalTok"/>
        </w:rPr>
        <w:t xml:space="preserve"> </w:t>
      </w:r>
      <w:r>
        <w:rPr>
          <w:rStyle w:val="OperatorTok"/>
        </w:rPr>
        <w:t xml:space="preserve">=</w:t>
      </w:r>
      <w:r>
        <w:rPr>
          <w:rStyle w:val="NormalTok"/>
        </w:rPr>
        <w:t xml:space="preserve"> </w:t>
      </w:r>
      <w:r>
        <w:rPr>
          <w:rStyle w:val="StringTok"/>
        </w:rPr>
        <w:t xml:space="preserve">"http://ocsp.agency.gov"</w:t>
      </w:r>
      <w:r>
        <w:rPr>
          <w:rStyle w:val="NormalTok"/>
        </w:rPr>
        <w:t xml:space="preserve">  </w:t>
      </w:r>
      <w:r>
        <w:rPr>
          <w:rStyle w:val="CommentTok"/>
        </w:rPr>
        <w:t xml:space="preserve"># Replace with actual OCSP URL from CPS</w:t>
      </w:r>
      <w:r>
        <w:br/>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VariableTok"/>
        </w:rPr>
        <w:t xml:space="preserve">$ocspUrl</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TimeoutSec </w:t>
      </w:r>
      <w:r>
        <w:rPr>
          <w:rStyle w:val="DecValTok"/>
        </w:rPr>
        <w:t xml:space="preserve">10</w:t>
      </w:r>
      <w:r>
        <w:br/>
      </w:r>
      <w:r>
        <w:rPr>
          <w:rStyle w:val="NormalTok"/>
        </w:rPr>
        <w:t xml:space="preserve">  </w:t>
      </w:r>
      <w:r>
        <w:rPr>
          <w:rStyle w:val="FunctionTok"/>
        </w:rPr>
        <w:t xml:space="preserve">Write-Host</w:t>
      </w:r>
      <w:r>
        <w:rPr>
          <w:rStyle w:val="NormalTok"/>
        </w:rPr>
        <w:t xml:space="preserve"> </w:t>
      </w:r>
      <w:r>
        <w:rPr>
          <w:rStyle w:val="StringTok"/>
        </w:rPr>
        <w:t xml:space="preserve">"OCSP responder reachable: HTTP </w:t>
      </w:r>
      <w:r>
        <w:rPr>
          <w:rStyle w:val="OperatorTok"/>
        </w:rPr>
        <w:t xml:space="preserve">$(</w:t>
      </w:r>
      <w:r>
        <w:rPr>
          <w:rStyle w:val="VariableTok"/>
        </w:rPr>
        <w:t xml:space="preserve">$response</w:t>
      </w:r>
      <w:r>
        <w:rPr>
          <w:rStyle w:val="OperatorTok"/>
        </w:rPr>
        <w:t xml:space="preserve">.</w:t>
      </w:r>
      <w:r>
        <w:rPr>
          <w:rStyle w:val="FunctionTok"/>
        </w:rPr>
        <w:t xml:space="preserve">StatusCode</w:t>
      </w:r>
      <w:r>
        <w:rPr>
          <w:rStyle w:val="OperatorTok"/>
        </w:rPr>
        <w:t xml:space="preserve">)</w:t>
      </w:r>
      <w:r>
        <w:rPr>
          <w:rStyle w:val="StringTok"/>
        </w:rPr>
        <w:t xml:space="preserve">"</w:t>
      </w:r>
      <w:r>
        <w:br/>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"OCSP responder not reachable: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 — SC-17 gap"</w:t>
      </w:r>
      <w:r>
        <w:br/>
      </w:r>
      <w:r>
        <w:rPr>
          <w:rStyle w:val="OperatorTok"/>
        </w:rPr>
        <w:t xml:space="preserve">}</w:t>
      </w:r>
    </w:p>
    <w:bookmarkEnd w:id="169"/>
    <w:bookmarkEnd w:id="170"/>
    <w:bookmarkStart w:id="171" w:name="X98320aee89e31afba008989fe27801c4708f4a9"/>
    <w:p>
      <w:pPr>
        <w:pStyle w:val="Heading1"/>
      </w:pPr>
      <w:r>
        <w:t xml:space="preserve">Multi-Cloud Key Management — Keys Live Per-Platform</w:t>
      </w:r>
    </w:p>
    <w:p>
      <w:pPr>
        <w:pStyle w:val="FirstParagraph"/>
      </w:pPr>
      <w:r>
        <w:t xml:space="preserve">The Azure Key Vault architecture above is the Microsoft-estate realization of</w:t>
      </w:r>
      <w:r>
        <w:t xml:space="preserve"> </w:t>
      </w:r>
      <w:r>
        <w:t xml:space="preserve">federal key management (</w:t>
      </w:r>
      <w:r>
        <w:rPr>
          <w:b/>
          <w:bCs/>
        </w:rPr>
        <w:t xml:space="preserve">SC-12, SC-13, SC-28</w:t>
      </w:r>
      <w:r>
        <w:t xml:space="preserve">). On a multi-cloud estate,</w:t>
      </w:r>
      <w:r>
        <w:t xml:space="preserve"> </w:t>
      </w:r>
      <w:r>
        <w:t xml:space="preserve">cryptographic keys are a</w:t>
      </w:r>
      <w:r>
        <w:t xml:space="preserve"> </w:t>
      </w:r>
      <w:r>
        <w:rPr>
          <w:b/>
          <w:bCs/>
        </w:rPr>
        <w:t xml:space="preserve">per-platform</w:t>
      </w:r>
      <w:r>
        <w:t xml:space="preserve"> </w:t>
      </w:r>
      <w:r>
        <w:t xml:space="preserve">resource: each CSP operates its own</w:t>
      </w:r>
      <w:r>
        <w:t xml:space="preserve"> </w:t>
      </w:r>
      <w:r>
        <w:t xml:space="preserve">FIPS 140-3 validated key-management service, and a key created in one does not</w:t>
      </w:r>
      <w:r>
        <w:t xml:space="preserve"> </w:t>
      </w:r>
      <w:r>
        <w:t xml:space="preserve">natively protect data in another.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Platform</w:t>
            </w:r>
          </w:p>
        </w:tc>
        <w:tc>
          <w:tcPr/>
          <w:p>
            <w:pPr>
              <w:pStyle w:val="Compact"/>
            </w:pPr>
            <w:r>
              <w:t xml:space="preserve">Key-management service</w:t>
            </w:r>
          </w:p>
        </w:tc>
        <w:tc>
          <w:tcPr/>
          <w:p>
            <w:pPr>
              <w:pStyle w:val="Compact"/>
            </w:pPr>
            <w:r>
              <w:t xml:space="preserve">Notes</w:t>
            </w:r>
          </w:p>
        </w:tc>
      </w:tr>
      <w:tr>
        <w:tc>
          <w:tcPr/>
          <w:p>
            <w:pPr>
              <w:pStyle w:val="Compact"/>
            </w:pPr>
            <w:r>
              <w:t xml:space="preserve">Microsoft</w:t>
            </w:r>
          </w:p>
        </w:tc>
        <w:tc>
          <w:tcPr/>
          <w:p>
            <w:pPr>
              <w:pStyle w:val="Compact"/>
            </w:pPr>
            <w:r>
              <w:t xml:space="preserve">Azure Key Vault (Premium) / Managed HSM</w:t>
            </w:r>
          </w:p>
        </w:tc>
        <w:tc>
          <w:tcPr/>
          <w:p>
            <w:pPr>
              <w:pStyle w:val="Compact"/>
            </w:pPr>
            <w:r>
              <w:t xml:space="preserve">default for the Azure estate</w:t>
            </w:r>
          </w:p>
        </w:tc>
      </w:tr>
      <w:tr>
        <w:tc>
          <w:tcPr/>
          <w:p>
            <w:pPr>
              <w:pStyle w:val="Compact"/>
            </w:pPr>
            <w:r>
              <w:t xml:space="preserve">AWS</w:t>
            </w:r>
          </w:p>
        </w:tc>
        <w:tc>
          <w:tcPr/>
          <w:p>
            <w:pPr>
              <w:pStyle w:val="Compact"/>
            </w:pPr>
            <w:r>
              <w:t xml:space="preserve">AWS KMS / CloudHSM</w:t>
            </w:r>
          </w:p>
        </w:tc>
        <w:tc>
          <w:tcPr/>
          <w:p>
            <w:pPr>
              <w:pStyle w:val="Compact"/>
            </w:pPr>
            <w:r>
              <w:t xml:space="preserve">CMK per account/region; FIPS 140-3 validated HSM</w:t>
            </w:r>
          </w:p>
        </w:tc>
      </w:tr>
      <w:tr>
        <w:tc>
          <w:tcPr/>
          <w:p>
            <w:pPr>
              <w:pStyle w:val="Compact"/>
            </w:pPr>
            <w:r>
              <w:t xml:space="preserve">Oracle OCI</w:t>
            </w:r>
          </w:p>
        </w:tc>
        <w:tc>
          <w:tcPr/>
          <w:p>
            <w:pPr>
              <w:pStyle w:val="Compact"/>
            </w:pPr>
            <w:r>
              <w:t xml:space="preserve">OCI Vault / Dedicated KMS (HSM)</w:t>
            </w:r>
          </w:p>
        </w:tc>
        <w:tc>
          <w:tcPr/>
          <w:p>
            <w:pPr>
              <w:pStyle w:val="Compact"/>
            </w:pPr>
          </w:p>
        </w:tc>
      </w:tr>
      <w:tr>
        <w:tc>
          <w:tcPr/>
          <w:p>
            <w:pPr>
              <w:pStyle w:val="Compact"/>
            </w:pPr>
            <w:r>
              <w:t xml:space="preserve">Cross-cloud</w:t>
            </w:r>
          </w:p>
        </w:tc>
        <w:tc>
          <w:tcPr/>
          <w:p>
            <w:pPr>
              <w:pStyle w:val="Compact"/>
            </w:pPr>
            <w:r>
              <w:t xml:space="preserve">External Key Store · BYOK ·</w:t>
            </w:r>
            <w:r>
              <w:t xml:space="preserve"> </w:t>
            </w:r>
            <w:r>
              <w:rPr>
                <w:b/>
                <w:bCs/>
              </w:rPr>
              <w:t xml:space="preserve">HYOK</w:t>
            </w:r>
          </w:p>
        </w:tc>
        <w:tc>
          <w:tcPr/>
          <w:p>
            <w:pPr>
              <w:pStyle w:val="Compact"/>
            </w:pPr>
            <w:r>
              <w:t xml:space="preserve">agency-retained key custody across a CSP boundary — for the highest-sensitivity CUI</w:t>
            </w:r>
          </w:p>
        </w:tc>
      </w:tr>
    </w:tbl>
    <w:p>
      <w:pPr>
        <w:pStyle w:val="BodyText"/>
      </w:pPr>
      <w:r>
        <w:rPr>
          <w:b/>
          <w:bCs/>
        </w:rPr>
        <w:t xml:space="preserve">Doctrine:</w:t>
      </w:r>
      <w:r>
        <w:t xml:space="preserve"> </w:t>
      </w:r>
      <w:r>
        <w:t xml:space="preserve">classification and DLP (</w:t>
      </w:r>
      <w:r>
        <w:rPr>
          <w:b/>
          <w:bCs/>
        </w:rPr>
        <w:t xml:space="preserve">Purview</w:t>
      </w:r>
      <w:r>
        <w:t xml:space="preserve">) coordinate across the estate —</w:t>
      </w:r>
      <w:r>
        <w:t xml:space="preserve"> </w:t>
      </w:r>
      <w:r>
        <w:t xml:space="preserve">the Purview Data Map reaches multi-cloud sources — but</w:t>
      </w:r>
      <w:r>
        <w:t xml:space="preserve"> </w:t>
      </w:r>
      <w:r>
        <w:rPr>
          <w:b/>
          <w:bCs/>
        </w:rPr>
        <w:t xml:space="preserve">key custody is</w:t>
      </w:r>
      <w:r>
        <w:rPr>
          <w:b/>
          <w:bCs/>
        </w:rPr>
        <w:t xml:space="preserve"> </w:t>
      </w:r>
      <w:r>
        <w:rPr>
          <w:b/>
          <w:bCs/>
        </w:rPr>
        <w:t xml:space="preserve">platform-native</w:t>
      </w:r>
      <w:r>
        <w:t xml:space="preserve">: the SC-12/SC-13 closure is a per-CSP HSM, unified only at the</w:t>
      </w:r>
      <w:r>
        <w:t xml:space="preserve"> </w:t>
      </w:r>
      <w:r>
        <w:t xml:space="preserve">governance layer (which keys protect which classified data). Microsoft-preference</w:t>
      </w:r>
      <w:r>
        <w:t xml:space="preserve"> </w:t>
      </w:r>
      <w:r>
        <w:t xml:space="preserve">holds for the</w:t>
      </w:r>
      <w:r>
        <w:t xml:space="preserve"> </w:t>
      </w:r>
      <w:r>
        <w:rPr>
          <w:i/>
          <w:iCs/>
        </w:rPr>
        <w:t xml:space="preserve">classification/DLP</w:t>
      </w:r>
      <w:r>
        <w:t xml:space="preserve"> </w:t>
      </w:r>
      <w:r>
        <w:t xml:space="preserve">plane where Purview genuinely reaches;</w:t>
      </w:r>
      <w:r>
        <w:t xml:space="preserve"> </w:t>
      </w:r>
      <w:r>
        <w:rPr>
          <w:b/>
          <w:bCs/>
        </w:rPr>
        <w:t xml:space="preserve">key</w:t>
      </w:r>
      <w:r>
        <w:rPr>
          <w:b/>
          <w:bCs/>
        </w:rPr>
        <w:t xml:space="preserve"> </w:t>
      </w:r>
      <w:r>
        <w:rPr>
          <w:b/>
          <w:bCs/>
        </w:rPr>
        <w:t xml:space="preserve">management is native per-CSP</w:t>
      </w:r>
      <w:r>
        <w:t xml:space="preserve"> </w:t>
      </w:r>
      <w:r>
        <w:t xml:space="preserve">because no single vault spans clouds.</w:t>
      </w:r>
      <w:r>
        <w:t xml:space="preserve"> </w:t>
      </w:r>
      <w:r>
        <w:rPr>
          <w:b/>
          <w:bCs/>
        </w:rPr>
        <w:t xml:space="preserve">BYOK/HYOK</w:t>
      </w:r>
      <w:r>
        <w:t xml:space="preserve"> </w:t>
      </w:r>
      <w:r>
        <w:t xml:space="preserve">is the pattern when the agency must retain sole key custody across a provider</w:t>
      </w:r>
      <w:r>
        <w:t xml:space="preserve"> </w:t>
      </w:r>
      <w:r>
        <w:t xml:space="preserve">boundary.</w:t>
      </w:r>
      <w:r>
        <w:t xml:space="preserve"> </w:t>
      </w:r>
      <w:r>
        <w:rPr>
          <w:b/>
          <w:bCs/>
        </w:rPr>
        <w:t xml:space="preserve">SC-13</w:t>
      </w:r>
      <w:r>
        <w:t xml:space="preserve"> </w:t>
      </w:r>
      <w:r>
        <w:t xml:space="preserve">is a property of the</w:t>
      </w:r>
      <w:r>
        <w:t xml:space="preserve"> </w:t>
      </w:r>
      <w:r>
        <w:rPr>
          <w:i/>
          <w:iCs/>
        </w:rPr>
        <w:t xml:space="preserve">validated module</w:t>
      </w:r>
      <w:r>
        <w:t xml:space="preserve"> </w:t>
      </w:r>
      <w:r>
        <w:t xml:space="preserve">— verify each</w:t>
      </w:r>
      <w:r>
        <w:t xml:space="preserve"> </w:t>
      </w:r>
      <w:r>
        <w:t xml:space="preserve">service’s CMVP FIPS 140-3 certificate, and track the FIPS 140-2 historical-list</w:t>
      </w:r>
      <w:r>
        <w:t xml:space="preserve"> </w:t>
      </w:r>
      <w:r>
        <w:t xml:space="preserve">transition (no new procurement reliance on 140-2-only modules).</w:t>
      </w:r>
    </w:p>
    <w:p>
      <w:pPr>
        <w:pStyle w:val="BodyText"/>
      </w:pPr>
      <w:r>
        <w:t xml:space="preserve">Key inventory, rotation events, and CMK-to-data bindings from every platform emit</w:t>
      </w:r>
      <w:r>
        <w:t xml:space="preserve"> </w:t>
      </w:r>
      <w:r>
        <w:t xml:space="preserve">the unified evidence-record contract into the Multi-Cloud Evidence Fabric,</w:t>
      </w:r>
      <w:r>
        <w:t xml:space="preserve"> </w:t>
      </w:r>
      <w:r>
        <w:t xml:space="preserve">feeding CISA CDM and the KSI pipeline.</w:t>
      </w:r>
    </w:p>
    <w:bookmarkEnd w:id="171"/>
    <w:bookmarkStart w:id="174" w:name="nist-control-closure-table-1"/>
    <w:p>
      <w:pPr>
        <w:pStyle w:val="Heading1"/>
      </w:pPr>
      <w:r>
        <w:t xml:space="preserve">NIST Control Closure Table</w:t>
      </w:r>
    </w:p>
    <w:p>
      <w:pPr>
        <w:pStyle w:val="FirstParagraph"/>
      </w:pPr>
      <w:r>
        <w:t xml:space="preserve">The following table maps the NIST SP 800-53 Rev 5 controls addressed in this document. The</w:t>
      </w:r>
      <w:r>
        <w:t xml:space="preserve"> </w:t>
      </w:r>
      <w:r>
        <w:t xml:space="preserve">“Without”</w:t>
      </w:r>
      <w:r>
        <w:t xml:space="preserve"> </w:t>
      </w:r>
      <w:r>
        <w:t xml:space="preserve">column describes the residual state after Volumes I and II and the Privileged Access Management and Vulnerability Management books of Volume III are implemented but before this document’s controls are applied. The</w:t>
      </w:r>
      <w:r>
        <w:t xml:space="preserve"> </w:t>
      </w:r>
      <w:r>
        <w:t xml:space="preserve">“With”</w:t>
      </w:r>
      <w:r>
        <w:t xml:space="preserve"> </w:t>
      </w:r>
      <w:r>
        <w:t xml:space="preserve">column describes the post-implementation state.</w:t>
      </w:r>
    </w:p>
    <w:p>
      <w:pPr>
        <w:pStyle w:val="BlockText"/>
      </w:pPr>
      <w:r>
        <w:rPr>
          <w:b/>
          <w:bCs/>
        </w:rPr>
        <w:t xml:space="preserve">Closure Necessity — AC-4 and the MP/SC families at the data layer.</w:t>
      </w:r>
      <w:r>
        <w:t xml:space="preserve"> </w:t>
      </w:r>
      <w:r>
        <w:t xml:space="preserve">The controls in this table close through data-governance artifacts — sensitivity labels, DLP policy, agency-held keys, and a documented CPS — not through the network substrate. None of the series’ three necessity anchors closes them: IPAM/DDI cannot author a classification, SD-WAN cannot sign an audit record, and a TIC 3.0 enforcement point cannot hold a key. The CASB deployed in Vol I Book 06 enforces label-derived policy at the boundary, but only after Purview has supplied the payload signal; the sole substrate dependency in this table is SC-17’s revocation endpoints, which must resolve through the authoritative DNS plane of Vol I Book 01. Saying this plainly is what keeps the necessity claims elsewhere in this series falsifiable rather than rhetorical.</w:t>
      </w:r>
    </w:p>
    <w:p>
      <w:pPr>
        <w:pStyle w:val="TableCaption"/>
      </w:pPr>
      <w:r>
        <w:t xml:space="preserve">NIST SP 800-53 Rev 5 control closure — Vol III Book 05 Data Protection</w:t>
      </w:r>
    </w:p>
    <w:tbl>
      <w:tblPr>
        <w:tblStyle w:val="Table"/>
        <w:tblW w:type="pct" w:w="5000"/>
        <w:tblLayout w:type="fixed"/>
        <w:tblLook w:firstRow="1" w:lastRow="0" w:firstColumn="0" w:lastColumn="0" w:noHBand="0" w:noVBand="0" w:val="0020"/>
        <w:tblCaption w:val="NIST SP 800-53 Rev 5 control closure — Vol III Book 05 Data Protection"/>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w:t>
            </w:r>
          </w:p>
        </w:tc>
        <w:tc>
          <w:tcPr/>
          <w:p>
            <w:pPr>
              <w:pStyle w:val="Compact"/>
            </w:pPr>
            <w:r>
              <w:t xml:space="preserve">With</w:t>
            </w:r>
          </w:p>
        </w:tc>
        <w:tc>
          <w:tcPr/>
          <w:p>
            <w:pPr>
              <w:pStyle w:val="Compact"/>
            </w:pPr>
            <w:r>
              <w:t xml:space="preserve">Authority</w:t>
            </w:r>
          </w:p>
        </w:tc>
      </w:tr>
      <w:tr>
        <w:tc>
          <w:tcPr/>
          <w:p>
            <w:pPr>
              <w:pStyle w:val="Compact"/>
            </w:pPr>
            <w:r>
              <w:t xml:space="preserve">AC-4</w:t>
            </w:r>
          </w:p>
        </w:tc>
        <w:tc>
          <w:tcPr/>
          <w:p>
            <w:pPr>
              <w:pStyle w:val="Compact"/>
            </w:pPr>
            <w:r>
              <w:t xml:space="preserve">Information Flow Enforcement (data layer)</w:t>
            </w:r>
          </w:p>
        </w:tc>
        <w:tc>
          <w:tcPr/>
          <w:p>
            <w:pPr>
              <w:pStyle w:val="Compact"/>
            </w:pPr>
            <w:r>
              <w:t xml:space="preserve">No label-based enforcement of information flow. The CASB enforces pipe controls but has no payload signal. A labeled CUI document and an unlabeled public document are treated identically by flow controls.</w:t>
            </w:r>
          </w:p>
        </w:tc>
        <w:tc>
          <w:tcPr/>
          <w:p>
            <w:pPr>
              <w:pStyle w:val="Compact"/>
            </w:pPr>
            <w:r>
              <w:t xml:space="preserve">DLP policies enforce label-based flow controls at the service, endpoint, and network boundary layers. The CASB receives label metadata from Purview and enforces destination restrictions based on classification tier.</w:t>
            </w:r>
          </w:p>
        </w:tc>
        <w:tc>
          <w:tcPr/>
          <w:p>
            <w:pPr>
              <w:pStyle w:val="Compact"/>
            </w:pPr>
            <w:r>
              <w:t xml:space="preserve">NIST SP 800-53 Rev 5 AC-4; FedRAMP Moderate AC-4</w:t>
            </w:r>
          </w:p>
        </w:tc>
      </w:tr>
      <w:tr>
        <w:tc>
          <w:tcPr/>
          <w:p>
            <w:pPr>
              <w:pStyle w:val="Compact"/>
            </w:pPr>
            <w:r>
              <w:t xml:space="preserve">AU-10</w:t>
            </w:r>
          </w:p>
        </w:tc>
        <w:tc>
          <w:tcPr/>
          <w:p>
            <w:pPr>
              <w:pStyle w:val="Compact"/>
            </w:pPr>
            <w:r>
              <w:t xml:space="preserve">Non-repudiation</w:t>
            </w:r>
          </w:p>
        </w:tc>
        <w:tc>
          <w:tcPr/>
          <w:p>
            <w:pPr>
              <w:pStyle w:val="Compact"/>
            </w:pPr>
            <w:r>
              <w:t xml:space="preserve">Audit records are generated in the unified audit log but are mutable by a tenant Global Administrator. Standard audit log retention is 90 days. The irrefutability standard of AU-10 is not met.</w:t>
            </w:r>
          </w:p>
        </w:tc>
        <w:tc>
          <w:tcPr/>
          <w:p>
            <w:pPr>
              <w:pStyle w:val="Compact"/>
            </w:pPr>
            <w:r>
              <w:t xml:space="preserve">Purview Audit Premium provides immutable, signed audit records with 10-year retention. MailItemsAccessed and SearchQueryInitiated events provide non-repudiation for high-value data access operations.</w:t>
            </w:r>
          </w:p>
        </w:tc>
        <w:tc>
          <w:tcPr/>
          <w:p>
            <w:pPr>
              <w:pStyle w:val="Compact"/>
            </w:pPr>
            <w:r>
              <w:t xml:space="preserve">NIST SP 800-53 Rev 5 AU-10 (above-baseline / defense-in-depth)</w:t>
            </w:r>
          </w:p>
        </w:tc>
      </w:tr>
      <w:tr>
        <w:tc>
          <w:tcPr/>
          <w:p>
            <w:pPr>
              <w:pStyle w:val="Compact"/>
            </w:pPr>
            <w:r>
              <w:t xml:space="preserve">MP-2</w:t>
            </w:r>
          </w:p>
        </w:tc>
        <w:tc>
          <w:tcPr/>
          <w:p>
            <w:pPr>
              <w:pStyle w:val="Compact"/>
            </w:pPr>
            <w:r>
              <w:t xml:space="preserve">Media Access</w:t>
            </w:r>
          </w:p>
        </w:tc>
        <w:tc>
          <w:tcPr/>
          <w:p>
            <w:pPr>
              <w:pStyle w:val="Compact"/>
            </w:pPr>
            <w:r>
              <w:t xml:space="preserve">SharePoint access permissions are applied at site or library level. A user with access to a SharePoint site has access to all content in that site regardless of sensitivity.</w:t>
            </w:r>
          </w:p>
        </w:tc>
        <w:tc>
          <w:tcPr/>
          <w:p>
            <w:pPr>
              <w:pStyle w:val="Compact"/>
            </w:pPr>
            <w:r>
              <w:t xml:space="preserve">Sensitivity labels enforce label-based access control. CUI-Basic and CUI-Specified labels restrict decryption to authorized holders even when the file is moved outside the SharePoint boundary.</w:t>
            </w:r>
          </w:p>
        </w:tc>
        <w:tc>
          <w:tcPr/>
          <w:p>
            <w:pPr>
              <w:pStyle w:val="Compact"/>
            </w:pPr>
            <w:r>
              <w:t xml:space="preserve">NIST SP 800-53 Rev 5 MP-2</w:t>
            </w:r>
          </w:p>
        </w:tc>
      </w:tr>
      <w:tr>
        <w:tc>
          <w:tcPr/>
          <w:p>
            <w:pPr>
              <w:pStyle w:val="Compact"/>
            </w:pPr>
            <w:r>
              <w:t xml:space="preserve">MP-3</w:t>
            </w:r>
          </w:p>
        </w:tc>
        <w:tc>
          <w:tcPr/>
          <w:p>
            <w:pPr>
              <w:pStyle w:val="Compact"/>
            </w:pPr>
            <w:r>
              <w:t xml:space="preserve">Media Marking</w:t>
            </w:r>
          </w:p>
        </w:tc>
        <w:tc>
          <w:tcPr/>
          <w:p>
            <w:pPr>
              <w:pStyle w:val="Compact"/>
            </w:pPr>
            <w:r>
              <w:t xml:space="preserve">Documents carry no machine-readable sensitivity markings. Manual classification is inconsistent and not auditable.</w:t>
            </w:r>
          </w:p>
        </w:tc>
        <w:tc>
          <w:tcPr/>
          <w:p>
            <w:pPr>
              <w:pStyle w:val="Compact"/>
            </w:pPr>
            <w:r>
              <w:t xml:space="preserve">Sensitivity labels applied automatically by classifier policies provide persistent, machine-readable marking. Labels survive file format conversion and movement across platforms.</w:t>
            </w:r>
          </w:p>
        </w:tc>
        <w:tc>
          <w:tcPr/>
          <w:p>
            <w:pPr>
              <w:pStyle w:val="Compact"/>
            </w:pPr>
            <w:r>
              <w:t xml:space="preserve">NIST SP 800-53 Rev 5 MP-3; NARA CUI Marking Handbook</w:t>
            </w:r>
          </w:p>
        </w:tc>
      </w:tr>
      <w:tr>
        <w:tc>
          <w:tcPr/>
          <w:p>
            <w:pPr>
              <w:pStyle w:val="Compact"/>
            </w:pPr>
            <w:r>
              <w:t xml:space="preserve">MP-4</w:t>
            </w:r>
          </w:p>
        </w:tc>
        <w:tc>
          <w:tcPr/>
          <w:p>
            <w:pPr>
              <w:pStyle w:val="Compact"/>
            </w:pPr>
            <w:r>
              <w:t xml:space="preserve">Media Storage</w:t>
            </w:r>
          </w:p>
        </w:tc>
        <w:tc>
          <w:tcPr/>
          <w:p>
            <w:pPr>
              <w:pStyle w:val="Compact"/>
            </w:pPr>
            <w:r>
              <w:t xml:space="preserve">No encryption differentiated by content sensitivity. All SharePoint content is encrypted by Microsoft-managed keys at the same tier.</w:t>
            </w:r>
          </w:p>
        </w:tc>
        <w:tc>
          <w:tcPr/>
          <w:p>
            <w:pPr>
              <w:pStyle w:val="Compact"/>
            </w:pPr>
            <w:r>
              <w:t xml:space="preserve">Customer-Managed Keys in Azure Key Vault provide agency-controlled encryption for CUI storage across SharePoint, OneDrive, and SQL Server.</w:t>
            </w:r>
          </w:p>
        </w:tc>
        <w:tc>
          <w:tcPr/>
          <w:p>
            <w:pPr>
              <w:pStyle w:val="Compact"/>
            </w:pPr>
            <w:r>
              <w:t xml:space="preserve">NIST SP 800-53 Rev 5 MP-4</w:t>
            </w:r>
          </w:p>
        </w:tc>
      </w:tr>
      <w:tr>
        <w:tc>
          <w:tcPr/>
          <w:p>
            <w:pPr>
              <w:pStyle w:val="Compact"/>
            </w:pPr>
            <w:r>
              <w:t xml:space="preserve">MP-5</w:t>
            </w:r>
          </w:p>
        </w:tc>
        <w:tc>
          <w:tcPr/>
          <w:p>
            <w:pPr>
              <w:pStyle w:val="Compact"/>
            </w:pPr>
            <w:r>
              <w:t xml:space="preserve">Media Transport</w:t>
            </w:r>
          </w:p>
        </w:tc>
        <w:tc>
          <w:tcPr/>
          <w:p>
            <w:pPr>
              <w:pStyle w:val="Compact"/>
            </w:pPr>
            <w:r>
              <w:t xml:space="preserve">No automated enforcement on external transfer of sensitive data. DLP policies may exist ad hoc but are not based on classification labels.</w:t>
            </w:r>
          </w:p>
        </w:tc>
        <w:tc>
          <w:tcPr/>
          <w:p>
            <w:pPr>
              <w:pStyle w:val="Compact"/>
            </w:pPr>
            <w:r>
              <w:t xml:space="preserve">DLP policies block external sharing and email transfer of labeled CUI. Endpoint DLP blocks USB and print transfer. CASB enforces at the network boundary using label metadata.</w:t>
            </w:r>
          </w:p>
        </w:tc>
        <w:tc>
          <w:tcPr/>
          <w:p>
            <w:pPr>
              <w:pStyle w:val="Compact"/>
            </w:pPr>
            <w:r>
              <w:t xml:space="preserve">NIST SP 800-53 Rev 5 MP-5</w:t>
            </w:r>
          </w:p>
        </w:tc>
      </w:tr>
      <w:tr>
        <w:tc>
          <w:tcPr/>
          <w:p>
            <w:pPr>
              <w:pStyle w:val="Compact"/>
            </w:pPr>
            <w:r>
              <w:t xml:space="preserve">SC-12</w:t>
            </w:r>
          </w:p>
        </w:tc>
        <w:tc>
          <w:tcPr/>
          <w:p>
            <w:pPr>
              <w:pStyle w:val="Compact"/>
            </w:pPr>
            <w:r>
              <w:t xml:space="preserve">Cryptographic Key Establishment and Management</w:t>
            </w:r>
          </w:p>
        </w:tc>
        <w:tc>
          <w:tcPr/>
          <w:p>
            <w:pPr>
              <w:pStyle w:val="Compact"/>
            </w:pPr>
            <w:r>
              <w:t xml:space="preserve">Keys managed by individual application owners without central inventory, rotation schedule, or access audit trail.</w:t>
            </w:r>
          </w:p>
        </w:tc>
        <w:tc>
          <w:tcPr/>
          <w:p>
            <w:pPr>
              <w:pStyle w:val="Compact"/>
            </w:pPr>
            <w:r>
              <w:t xml:space="preserve">Azure Key Vault Premium (HSM tier) provides central key management with RBAC access, automatic rotation policy (12-month cycle), and full Key Vault audit logging. No human has standing access to key material.</w:t>
            </w:r>
          </w:p>
        </w:tc>
        <w:tc>
          <w:tcPr/>
          <w:p>
            <w:pPr>
              <w:pStyle w:val="Compact"/>
            </w:pPr>
            <w:r>
              <w:t xml:space="preserve">NIST SP 800-53 Rev 5 SC-12; NIST SP 800-57 Part 1</w:t>
            </w:r>
          </w:p>
        </w:tc>
      </w:tr>
      <w:tr>
        <w:tc>
          <w:tcPr/>
          <w:p>
            <w:pPr>
              <w:pStyle w:val="Compact"/>
            </w:pPr>
            <w:r>
              <w:t xml:space="preserve">SC-12(1)</w:t>
            </w:r>
          </w:p>
        </w:tc>
        <w:tc>
          <w:tcPr/>
          <w:p>
            <w:pPr>
              <w:pStyle w:val="Compact"/>
            </w:pPr>
            <w:r>
              <w:t xml:space="preserve">Availability</w:t>
            </w:r>
          </w:p>
        </w:tc>
        <w:tc>
          <w:tcPr/>
          <w:p>
            <w:pPr>
              <w:pStyle w:val="Compact"/>
            </w:pPr>
            <w:r>
              <w:t xml:space="preserve">No documented key recovery procedure. Loss of a key means loss of data.</w:t>
            </w:r>
          </w:p>
        </w:tc>
        <w:tc>
          <w:tcPr/>
          <w:p>
            <w:pPr>
              <w:pStyle w:val="Compact"/>
            </w:pPr>
            <w:r>
              <w:t xml:space="preserve">Key Vault soft-delete with 90-day retention and purge protection prevents accidental key deletion. Key Vault backup can be restored to a paired region.</w:t>
            </w:r>
          </w:p>
        </w:tc>
        <w:tc>
          <w:tcPr/>
          <w:p>
            <w:pPr>
              <w:pStyle w:val="Compact"/>
            </w:pPr>
            <w:r>
              <w:t xml:space="preserve">NIST SP 800-53 Rev 5 SC-12(1)</w:t>
            </w:r>
          </w:p>
        </w:tc>
      </w:tr>
      <w:tr>
        <w:tc>
          <w:tcPr/>
          <w:p>
            <w:pPr>
              <w:pStyle w:val="Compact"/>
            </w:pPr>
            <w:r>
              <w:t xml:space="preserve">SC-13</w:t>
            </w:r>
          </w:p>
        </w:tc>
        <w:tc>
          <w:tcPr/>
          <w:p>
            <w:pPr>
              <w:pStyle w:val="Compact"/>
            </w:pPr>
            <w:r>
              <w:t xml:space="preserve">Cryptographic Protection</w:t>
            </w:r>
          </w:p>
        </w:tc>
        <w:tc>
          <w:tcPr/>
          <w:p>
            <w:pPr>
              <w:pStyle w:val="Compact"/>
            </w:pPr>
            <w:r>
              <w:t xml:space="preserve">TDE enabled with Microsoft-managed keys. SharePoint encryption uses Microsoft-managed keys. No agency visibility into key operations.</w:t>
            </w:r>
          </w:p>
        </w:tc>
        <w:tc>
          <w:tcPr/>
          <w:p>
            <w:pPr>
              <w:pStyle w:val="Compact"/>
            </w:pPr>
            <w:r>
              <w:t xml:space="preserve">SQL TDE protector migrated to CMK in Key Vault. SharePoint BYOK and Exchange Customer Key extend agency-controlled CMK to Microsoft 365 workloads. All key operations are logged.</w:t>
            </w:r>
          </w:p>
        </w:tc>
        <w:tc>
          <w:tcPr/>
          <w:p>
            <w:pPr>
              <w:pStyle w:val="Compact"/>
            </w:pPr>
            <w:r>
              <w:t xml:space="preserve">NIST SP 800-53 Rev 5 SC-13; FIPS 140-3 (validated modules; 140-2 only while CMVP-Active, pending 2026-09-21 Historical transition)</w:t>
            </w:r>
          </w:p>
        </w:tc>
      </w:tr>
      <w:tr>
        <w:tc>
          <w:tcPr/>
          <w:p>
            <w:pPr>
              <w:pStyle w:val="Compact"/>
            </w:pPr>
            <w:r>
              <w:t xml:space="preserve">SC-17</w:t>
            </w:r>
          </w:p>
        </w:tc>
        <w:tc>
          <w:tcPr/>
          <w:p>
            <w:pPr>
              <w:pStyle w:val="Compact"/>
            </w:pPr>
            <w:r>
              <w:t xml:space="preserve">PKI Certificates</w:t>
            </w:r>
          </w:p>
        </w:tc>
        <w:tc>
          <w:tcPr/>
          <w:p>
            <w:pPr>
              <w:pStyle w:val="Compact"/>
            </w:pPr>
            <w:r>
              <w:t xml:space="preserve">CA deployed and issuing certificates without a documented Certificate Practice Statement. No defined issuance, revocation, or key protection policy; no curated trusted-root set on managed devices.</w:t>
            </w:r>
          </w:p>
        </w:tc>
        <w:tc>
          <w:tcPr/>
          <w:p>
            <w:pPr>
              <w:pStyle w:val="Compact"/>
            </w:pPr>
            <w:r>
              <w:t xml:space="preserve">Part (a): CPS per RFC 3647 governs the full certificate lifecycle; issuing CA private key stored in Key Vault HSM; CRL and OCSP endpoints registered in InfoBlox IPAM with verified DNS resolution. Part (b): an approved trust-anchor list is distributed to managed devices via Intune configuration profiles, and unmanaged trusted-root additions are blocked by policy.</w:t>
            </w:r>
          </w:p>
        </w:tc>
        <w:tc>
          <w:tcPr/>
          <w:p>
            <w:pPr>
              <w:pStyle w:val="Compact"/>
            </w:pPr>
            <w:r>
              <w:t xml:space="preserve">NIST SP 800-53 Rev 5 SC-17; RFC 3647</w:t>
            </w:r>
          </w:p>
        </w:tc>
      </w:tr>
      <w:tr>
        <w:tc>
          <w:tcPr/>
          <w:p>
            <w:pPr>
              <w:pStyle w:val="Compact"/>
            </w:pPr>
            <w:r>
              <w:t xml:space="preserve">SC-28</w:t>
            </w:r>
          </w:p>
        </w:tc>
        <w:tc>
          <w:tcPr/>
          <w:p>
            <w:pPr>
              <w:pStyle w:val="Compact"/>
            </w:pPr>
            <w:r>
              <w:t xml:space="preserve">Protection of Information at Rest (depth extension)</w:t>
            </w:r>
          </w:p>
        </w:tc>
        <w:tc>
          <w:tcPr/>
          <w:p>
            <w:pPr>
              <w:pStyle w:val="Compact"/>
            </w:pPr>
            <w:r>
              <w:t xml:space="preserve">SQL Server TDE (established in Vol II Book 01) protects database files at rest with Microsoft-managed keys. Label-enforced file encryption for Office documents not enabled.</w:t>
            </w:r>
          </w:p>
        </w:tc>
        <w:tc>
          <w:tcPr/>
          <w:p>
            <w:pPr>
              <w:pStyle w:val="Compact"/>
            </w:pPr>
            <w:r>
              <w:t xml:space="preserve">TDE protector migrated to CMK under agency control. Sensitivity label encryption on CUI-Basic and CUI-Specified documents extends at-rest protection beyond the database boundary to any storage location where the file resides.</w:t>
            </w:r>
          </w:p>
        </w:tc>
        <w:tc>
          <w:tcPr/>
          <w:p>
            <w:pPr>
              <w:pStyle w:val="Compact"/>
            </w:pPr>
            <w:r>
              <w:t xml:space="preserve">NIST SP 800-53 Rev 5 SC-28</w:t>
            </w:r>
          </w:p>
        </w:tc>
      </w:tr>
    </w:tbl>
    <w:p>
      <w:pPr>
        <w:pStyle w:val="BodyText"/>
      </w:pPr>
      <w:r>
        <w:rPr>
          <w:b/>
          <w:bCs/>
        </w:rPr>
        <w:t xml:space="preserve">Interpretive note on the MP family.</w:t>
      </w:r>
      <w:r>
        <w:t xml:space="preserve"> </w:t>
      </w:r>
      <w:r>
        <w:t xml:space="preserve">The MP family (MP-2 through MP-5) governs</w:t>
      </w:r>
      <w:r>
        <w:t xml:space="preserve"> </w:t>
      </w:r>
      <w:r>
        <w:rPr>
          <w:i/>
          <w:iCs/>
        </w:rPr>
        <w:t xml:space="preserve">system media</w:t>
      </w:r>
      <w:r>
        <w:t xml:space="preserve"> </w:t>
      </w:r>
      <w:r>
        <w:t xml:space="preserve">— removable media, paper, and output. The rows above map sensitivity-label access, marking, and DLP to MP-2/MP-3/MP-4/MP-5 as a</w:t>
      </w:r>
      <w:r>
        <w:t xml:space="preserve"> </w:t>
      </w:r>
      <w:r>
        <w:rPr>
          <w:i/>
          <w:iCs/>
        </w:rPr>
        <w:t xml:space="preserve">supporting</w:t>
      </w:r>
      <w:r>
        <w:t xml:space="preserve"> </w:t>
      </w:r>
      <w:r>
        <w:t xml:space="preserve">interpretation for SaaS-resident files; a 3PAO may prefer to see label-based attribute control anchored to</w:t>
      </w:r>
      <w:r>
        <w:t xml:space="preserve"> </w:t>
      </w:r>
      <w:r>
        <w:rPr>
          <w:b/>
          <w:bCs/>
        </w:rPr>
        <w:t xml:space="preserve">AC-16 (Security and Privacy Attributes)</w:t>
      </w:r>
      <w:r>
        <w:t xml:space="preserve"> </w:t>
      </w:r>
      <w:r>
        <w:t xml:space="preserve">and</w:t>
      </w:r>
      <w:r>
        <w:t xml:space="preserve"> </w:t>
      </w:r>
      <w:r>
        <w:rPr>
          <w:b/>
          <w:bCs/>
        </w:rPr>
        <w:t xml:space="preserve">AC-4</w:t>
      </w:r>
      <w:r>
        <w:t xml:space="preserve">, reserving MP claims for where physical or removable media is actually controlled (endpoint USB and print, MP-5/MP-7). Read the MP rows here as supporting evidence for the data-layer intent rather than as the sole closure of the media-handling controls.</w:t>
      </w:r>
    </w:p>
    <w:p>
      <w:r>
        <w:pict>
          <v:rect style="width:0;height:1.5pt" o:hralign="center" o:hrstd="t" o:hr="t"/>
        </w:pict>
      </w:r>
    </w:p>
    <w:bookmarkStart w:id="172" w:name="X3ebfeca6287e5444573b4031721b0fba299571c"/>
    <w:p>
      <w:pPr>
        <w:pStyle w:val="Heading2"/>
      </w:pPr>
      <w:r>
        <w:t xml:space="preserve">FedRAMP 20x Key Security Indicator Alignment</w:t>
      </w:r>
    </w:p>
    <w:p>
      <w:pPr>
        <w:pStyle w:val="FirstParagraph"/>
      </w:pPr>
      <w:r>
        <w:t xml:space="preserve">FedRAMP 20x shifts authorization from document-heavy assessment to continuous, evidence-based Key Security Indicators (KSIs). The controls established in this document contribute to the following KSIs:</w:t>
      </w:r>
    </w:p>
    <w:p>
      <w:pPr>
        <w:pStyle w:val="BodyText"/>
      </w:pPr>
      <w:r>
        <w:rPr>
          <w:b/>
          <w:bCs/>
        </w:rPr>
        <w:t xml:space="preserve">KSI-CNA (Cloud Native Architecture) — data classification and payload-layer protection.</w:t>
      </w:r>
      <w:r>
        <w:t xml:space="preserve"> </w:t>
      </w:r>
      <w:r>
        <w:t xml:space="preserve">Continuous evidence that sensitive data is classified, labeled, and subject to automated protection controls. Purview auto-labeling policies and DLP enforcement logs provide machine-readable evidence that classification and protection are operating continuously — not a point-in-time assessment finding.</w:t>
      </w:r>
    </w:p>
    <w:p>
      <w:pPr>
        <w:pStyle w:val="BodyText"/>
      </w:pPr>
      <w:r>
        <w:rPr>
          <w:b/>
          <w:bCs/>
        </w:rPr>
        <w:t xml:space="preserve">KSI-SVC (Service Configuration) — cryptographic key management.</w:t>
      </w:r>
      <w:r>
        <w:t xml:space="preserve"> </w:t>
      </w:r>
      <w:r>
        <w:t xml:space="preserve">Continuous evidence that encryption keys are managed under agency control with defined rotation schedules and access audit trails. Key Vault audit logs, rotation policy compliance reports, and RBAC access reviews provide the continuous evidence stream required by FedRAMP 20x.</w:t>
      </w:r>
    </w:p>
    <w:p>
      <w:pPr>
        <w:pStyle w:val="BodyText"/>
      </w:pPr>
      <w:r>
        <w:rPr>
          <w:b/>
          <w:bCs/>
        </w:rPr>
        <w:t xml:space="preserve">KSI-MLA (Monitoring, Logging, and Auditing) — non-repudiation and audit integrity.</w:t>
      </w:r>
      <w:r>
        <w:t xml:space="preserve"> </w:t>
      </w:r>
      <w:r>
        <w:t xml:space="preserve">Continuous evidence that high-value audit records are immutable and retained at the required duration. Purview Audit Premium retention policy compliance and the availability of MailItemsAccessed events in the audit log provide this evidence.</w:t>
      </w:r>
    </w:p>
    <w:p>
      <w:pPr>
        <w:pStyle w:val="BodyText"/>
      </w:pPr>
      <w:r>
        <w:rPr>
          <w:b/>
          <w:bCs/>
        </w:rPr>
        <w:t xml:space="preserve">KSI-CNA (Cloud Native Architecture) — payload-boundary enforcement.</w:t>
      </w:r>
      <w:r>
        <w:t xml:space="preserve"> </w:t>
      </w:r>
      <w:r>
        <w:t xml:space="preserve">The DLP policy architecture extends boundary enforcement to the data payload layer, complementing the network and identity boundary controls established in Volumes I and II and the Privileged Access Management and Vulnerability Management books of Volume III. FedRAMP 20x assessors reviewing the boundary-related KSIs should examine DLP policy reports and CASB enforcement logs alongside the network perimeter controls.</w:t>
      </w:r>
    </w:p>
    <w:p>
      <w:pPr>
        <w:pStyle w:val="BodyText"/>
      </w:pPr>
      <w:r>
        <w:t xml:space="preserve">The integration of Purview classification with the CASB deployed in Vol I Book 06 is the critical architectural link: it converts a static network boundary into a content-aware enforcement boundary. This integration is the mechanism by which the data protection controls established in this document satisfy the continuous-monitoring intent of FedRAMP 20x.</w:t>
      </w:r>
    </w:p>
    <w:bookmarkEnd w:id="172"/>
    <w:bookmarkStart w:id="173" w:name="draft-proposal-subject-to-review-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73"/>
    <w:p>
      <w:pPr>
        <w:pStyle w:val="BodyText"/>
      </w:pPr>
      <w:r>
        <w:rPr>
          <w:b/>
          <w:bCs/>
        </w:rPr>
        <w:t xml:space="preserve">Series Context</w:t>
      </w:r>
      <w:r>
        <w:t xml:space="preserve"> </w:t>
      </w:r>
      <w:r>
        <w:t xml:space="preserve">— This document is Vol III Book 06 of the Federal Compliance series. The Volume I and Volume II books established the most comprehensive structured log pipeline a federal agency is likely to operate: InfoBlox syslog with RPZ/DNSSEC telemetry, SASE per-session flow records, Entra ID sign-in and audit logs, SQL Server continuous monitoring, and Defender for Endpoint device findings. Vol III Book 01 (Privileged Access Management) and Vol III Book 02 (Vulnerability Management) extended that foundation with privileged access management and vulnerability posture. Vol III Book 05 (Data Protection / Purview) addressed data protection and classification. This part converts the aggregate log pipeline into an active detection and response capability — closing the gap between log generation (AU-2, AU-12) and log analysis, anomaly detection, and incident response (AU-6, SI-4, IR-4/6/8).</w:t>
      </w:r>
    </w:p>
    <w:bookmarkEnd w:id="174"/>
    <w:bookmarkStart w:id="175" w:name="what-this-document-addresses-5"/>
    <w:p>
      <w:pPr>
        <w:pStyle w:val="Heading1"/>
      </w:pPr>
      <w:r>
        <w:t xml:space="preserve">What This Document Addresses</w:t>
      </w:r>
    </w:p>
    <w:p>
      <w:pPr>
        <w:pStyle w:val="FirstParagraph"/>
      </w:pPr>
      <w:r>
        <w:t xml:space="preserve">The Volume I and Volume II books of this series built a log pipeline of exceptional depth for a federal agency context. InfoBlox provides structured syslog for every DNS query, RPZ policy hit, DHCP lease event, and DNSSEC validation failure on the network. The SASE platform (Zscaler or Netskope) produces per-session flow telemetry for every user egress connection, including full URL, user identity, device posture score, and data transfer volume. Entra ID exports sign-in logs with IP geolocation, MFA result, Conditional Access policy evaluation detail, and risky sign-in flags. SQL Server continuous auditing writes every authentication event, privileged operation, and schema change to a tamper-resistant audit trail. Defender for Endpoint inventories every vulnerability finding against every enrolled device daily.</w:t>
      </w:r>
    </w:p>
    <w:p>
      <w:pPr>
        <w:pStyle w:val="BodyText"/>
      </w:pPr>
      <w:r>
        <w:t xml:space="preserve">The problem this document addresses is that none of that log volume is useful if no one is watching it and nothing fires when something goes wrong.</w:t>
      </w:r>
    </w:p>
    <w:p>
      <w:pPr>
        <w:pStyle w:val="BodyText"/>
      </w:pPr>
      <w:r>
        <w:t xml:space="preserve">A log warehouse that has never generated an alert does not satisfy AU-6. NIST SP 800-53 Rev 5 AU-6 requires</w:t>
      </w:r>
      <w:r>
        <w:t xml:space="preserve"> </w:t>
      </w:r>
      <w:r>
        <w:t xml:space="preserve">“review and analyze system audit records for indications of inappropriate or unusual activity.”</w:t>
      </w:r>
      <w:r>
        <w:t xml:space="preserve"> </w:t>
      </w:r>
      <w:r>
        <w:t xml:space="preserve">The control does not permit a passive archive. The current state at most agencies that have invested in log collection but not detection engineering is: logs are present in a storage tier or a log aggregator; no automated detection rules fire; analysts must manually query; mean time to detect (MTTD) runs days to weeks; and when a FedRAMP assessor asks</w:t>
      </w:r>
      <w:r>
        <w:t xml:space="preserve"> </w:t>
      </w:r>
      <w:r>
        <w:t xml:space="preserve">“show me an alert that fired last month and the incident response ticket it generated,”</w:t>
      </w:r>
      <w:r>
        <w:t xml:space="preserve"> </w:t>
      </w:r>
      <w:r>
        <w:t xml:space="preserve">the program cannot produce the artifact.</w:t>
      </w:r>
    </w:p>
    <w:p>
      <w:pPr>
        <w:pStyle w:val="BodyText"/>
      </w:pPr>
      <w:r>
        <w:t xml:space="preserve">This document closes that gap through four mechanisms: a connected Security Information and Event Management (SIEM) platform — Microsoft Sentinel — that ingests every log source from the series through native data connectors; a curated detection rule library of KQL-based analytics rules targeted at the specific log sources established by the Volume I, Volume II, and Volume III books preceding this one; User and Entity Behavior Analytics (UEBA) that applies machine learning across the aggregate telemetry to surface anomalies no single-source rule can detect; and automated playbooks that convert alert firings into enriched incident records and, for confirmed high-severity detections, trigger automated containment without waiting for analyst action.</w:t>
      </w:r>
    </w:p>
    <w:p>
      <w:pPr>
        <w:pStyle w:val="BodyText"/>
      </w:pPr>
      <w:r>
        <w:rPr>
          <w:b/>
          <w:bCs/>
        </w:rPr>
        <w:t xml:space="preserve">SIEM vs. Log Aggregator</w:t>
      </w:r>
      <w:r>
        <w:t xml:space="preserve"> </w:t>
      </w:r>
      <w:r>
        <w:t xml:space="preserve">— A log aggregator (Splunk, Elastic, Azure Log Analytics alone) collects and indexes log data. A SIEM platform — Microsoft Sentinel, Splunk SIEM, IBM QRadar — adds rule-based detection, ML-driven anomaly scoring, incident management workflow, and automation orchestration on top of that indexed data. Microsoft Sentinel is built on Azure Log Analytics as its data store and adds the SIEM detection layer. Both components are required. The distinction matters for assessors: AU-6 does not accept a log aggregator that has no detection rules configured.</w:t>
      </w:r>
    </w:p>
    <w:bookmarkEnd w:id="175"/>
    <w:bookmarkStart w:id="179" w:name="X6dc7093b062087e7d4be5d558d959549560c80d"/>
    <w:p>
      <w:pPr>
        <w:pStyle w:val="Heading1"/>
      </w:pPr>
      <w:r>
        <w:t xml:space="preserve">The Log Warehouse vs. Detection Engine Distinction</w:t>
      </w:r>
    </w:p>
    <w:bookmarkStart w:id="176" w:name="what-au-6-actually-requires"/>
    <w:p>
      <w:pPr>
        <w:pStyle w:val="Heading2"/>
      </w:pPr>
      <w:r>
        <w:t xml:space="preserve">What AU-6 Actually Requires</w:t>
      </w:r>
    </w:p>
    <w:p>
      <w:pPr>
        <w:pStyle w:val="FirstParagraph"/>
      </w:pPr>
      <w:r>
        <w:t xml:space="preserve">NIST SP 800-53 Rev 5 AU-6 (Audit Record Review, Analysis, and Reporting) has three required actions: review, analyze, and report. All three are ongoing activities, not point-in-time exercises. AU-6(1) (Automated Process Integration) extends the base control to require automated integration of the audit review process with other organizational processes — explicitly referinating the expectation that a human manually querying logs on an ad hoc basis does not constitute compliance.</w:t>
      </w:r>
    </w:p>
    <w:p>
      <w:pPr>
        <w:pStyle w:val="BodyText"/>
      </w:pPr>
      <w:r>
        <w:t xml:space="preserve">FedRAMP assessors evaluating AU-6 follow a predictable sequence. First: is there a log collection mechanism? Most agencies pass this question. Second: are logs being ingested into a SIEM? Many agencies have deployed Sentinel or Splunk and can pass this. Third — and this is where programs fail — is there a configured detection rule set, and can the program show an alert that fired, the incident record it generated, and the documented response? A SIEM with zero configured analytics rules, or a SIEM where every rule is in disabled state pending tuning, does not pass this step.</w:t>
      </w:r>
    </w:p>
    <w:p>
      <w:pPr>
        <w:pStyle w:val="BodyText"/>
      </w:pPr>
      <w:r>
        <w:t xml:space="preserve">The assessor’s actual evidence request is specific:</w:t>
      </w:r>
      <w:r>
        <w:t xml:space="preserve"> </w:t>
      </w:r>
      <w:r>
        <w:t xml:space="preserve">“Provide an example of an alert that fired in the last 30 days, the incident record associated with it, and documentation of what action was taken.”</w:t>
      </w:r>
      <w:r>
        <w:t xml:space="preserve"> </w:t>
      </w:r>
      <w:r>
        <w:t xml:space="preserve">If no alert has fired in 30 days, one of three things is true: (a) the environment has no suspicious activity, which is unlikely; (b) the detection rules are misconfigured and generating no output; or (c) no detection rules are configured. Options (b) and (c) are AU-6 findings.</w:t>
      </w:r>
    </w:p>
    <w:bookmarkEnd w:id="176"/>
    <w:bookmarkStart w:id="177" w:name="X389dcf45a04b38e061596ac30a18f7c58d6b01e"/>
    <w:p>
      <w:pPr>
        <w:pStyle w:val="Heading2"/>
      </w:pPr>
      <w:r>
        <w:t xml:space="preserve">Mean Time to Detect Without a Detection Engine</w:t>
      </w:r>
    </w:p>
    <w:p>
      <w:pPr>
        <w:pStyle w:val="FirstParagraph"/>
      </w:pPr>
      <w:r>
        <w:t xml:space="preserve">Before this document’s controls are in place, the MTTD for the most common attack patterns against the log sources from the Volume I, Volume II, and Volume III books preceding this one is as follows:</w:t>
      </w:r>
    </w:p>
    <w:p>
      <w:pPr>
        <w:pStyle w:val="TableCaption"/>
      </w:pPr>
      <w:r>
        <w:t xml:space="preserve">Mean time to detect comparison by attack pattern</w:t>
      </w:r>
    </w:p>
    <w:tbl>
      <w:tblPr>
        <w:tblStyle w:val="Table"/>
        <w:tblW w:type="pct" w:w="5000"/>
        <w:tblLayout w:type="fixed"/>
        <w:tblLook w:firstRow="1" w:lastRow="0" w:firstColumn="0" w:lastColumn="0" w:noHBand="0" w:noVBand="0" w:val="0020"/>
        <w:tblCaption w:val="Mean time to detect comparison by attack pattern"/>
      </w:tblPr>
      <w:tblGrid>
        <w:gridCol w:w="1980"/>
        <w:gridCol w:w="1980"/>
        <w:gridCol w:w="1980"/>
        <w:gridCol w:w="1980"/>
      </w:tblGrid>
      <w:tr>
        <w:trPr>
          <w:tblHeader w:val="on"/>
        </w:trPr>
        <w:tc>
          <w:tcPr/>
          <w:p>
            <w:pPr>
              <w:pStyle w:val="Compact"/>
            </w:pPr>
            <w:r>
              <w:t xml:space="preserve">Attack Pattern</w:t>
            </w:r>
          </w:p>
        </w:tc>
        <w:tc>
          <w:tcPr/>
          <w:p>
            <w:pPr>
              <w:pStyle w:val="Compact"/>
            </w:pPr>
            <w:r>
              <w:t xml:space="preserve">Log Source Available</w:t>
            </w:r>
          </w:p>
        </w:tc>
        <w:tc>
          <w:tcPr/>
          <w:p>
            <w:pPr>
              <w:pStyle w:val="Compact"/>
            </w:pPr>
            <w:r>
              <w:t xml:space="preserve">MTTD Without SIEM</w:t>
            </w:r>
          </w:p>
        </w:tc>
        <w:tc>
          <w:tcPr/>
          <w:p>
            <w:pPr>
              <w:pStyle w:val="Compact"/>
            </w:pPr>
            <w:r>
              <w:t xml:space="preserve">MTTD With Sentinel</w:t>
            </w:r>
          </w:p>
        </w:tc>
      </w:tr>
      <w:tr>
        <w:tc>
          <w:tcPr/>
          <w:p>
            <w:pPr>
              <w:pStyle w:val="Compact"/>
            </w:pPr>
            <w:r>
              <w:t xml:space="preserve">DNS C2 beacon via compromised host</w:t>
            </w:r>
          </w:p>
        </w:tc>
        <w:tc>
          <w:tcPr/>
          <w:p>
            <w:pPr>
              <w:pStyle w:val="Compact"/>
            </w:pPr>
            <w:r>
              <w:t xml:space="preserve">InfoBlox syslog</w:t>
            </w:r>
          </w:p>
        </w:tc>
        <w:tc>
          <w:tcPr/>
          <w:p>
            <w:pPr>
              <w:pStyle w:val="Compact"/>
            </w:pPr>
            <w:r>
              <w:t xml:space="preserve">Days to weeks</w:t>
            </w:r>
          </w:p>
        </w:tc>
        <w:tc>
          <w:tcPr/>
          <w:p>
            <w:pPr>
              <w:pStyle w:val="Compact"/>
            </w:pPr>
            <w:r>
              <w:t xml:space="preserve">Minutes (automated rule)</w:t>
            </w:r>
          </w:p>
        </w:tc>
      </w:tr>
      <w:tr>
        <w:tc>
          <w:tcPr/>
          <w:p>
            <w:pPr>
              <w:pStyle w:val="Compact"/>
            </w:pPr>
            <w:r>
              <w:t xml:space="preserve">Credential stuffing against Entra ID</w:t>
            </w:r>
          </w:p>
        </w:tc>
        <w:tc>
          <w:tcPr/>
          <w:p>
            <w:pPr>
              <w:pStyle w:val="Compact"/>
            </w:pPr>
            <w:r>
              <w:t xml:space="preserve">Entra sign-in logs</w:t>
            </w:r>
          </w:p>
        </w:tc>
        <w:tc>
          <w:tcPr/>
          <w:p>
            <w:pPr>
              <w:pStyle w:val="Compact"/>
            </w:pPr>
            <w:r>
              <w:t xml:space="preserve">Days (if reviewed)</w:t>
            </w:r>
          </w:p>
        </w:tc>
        <w:tc>
          <w:tcPr/>
          <w:p>
            <w:pPr>
              <w:pStyle w:val="Compact"/>
            </w:pPr>
            <w:r>
              <w:t xml:space="preserve">Minutes (automated rule)</w:t>
            </w:r>
          </w:p>
        </w:tc>
      </w:tr>
      <w:tr>
        <w:tc>
          <w:tcPr/>
          <w:p>
            <w:pPr>
              <w:pStyle w:val="Compact"/>
            </w:pPr>
            <w:r>
              <w:t xml:space="preserve">Impossible travel sign-in</w:t>
            </w:r>
          </w:p>
        </w:tc>
        <w:tc>
          <w:tcPr/>
          <w:p>
            <w:pPr>
              <w:pStyle w:val="Compact"/>
            </w:pPr>
            <w:r>
              <w:t xml:space="preserve">Entra sign-in logs</w:t>
            </w:r>
          </w:p>
        </w:tc>
        <w:tc>
          <w:tcPr/>
          <w:p>
            <w:pPr>
              <w:pStyle w:val="Compact"/>
            </w:pPr>
            <w:r>
              <w:t xml:space="preserve">Days to weeks</w:t>
            </w:r>
          </w:p>
        </w:tc>
        <w:tc>
          <w:tcPr/>
          <w:p>
            <w:pPr>
              <w:pStyle w:val="Compact"/>
            </w:pPr>
            <w:r>
              <w:t xml:space="preserve">Minutes (automated rule)</w:t>
            </w:r>
          </w:p>
        </w:tc>
      </w:tr>
      <w:tr>
        <w:tc>
          <w:tcPr/>
          <w:p>
            <w:pPr>
              <w:pStyle w:val="Compact"/>
            </w:pPr>
            <w:r>
              <w:t xml:space="preserve">SA account re-enabled on SQL instance</w:t>
            </w:r>
          </w:p>
        </w:tc>
        <w:tc>
          <w:tcPr/>
          <w:p>
            <w:pPr>
              <w:pStyle w:val="Compact"/>
            </w:pPr>
            <w:r>
              <w:t xml:space="preserve">SQL audit log</w:t>
            </w:r>
          </w:p>
        </w:tc>
        <w:tc>
          <w:tcPr/>
          <w:p>
            <w:pPr>
              <w:pStyle w:val="Compact"/>
            </w:pPr>
            <w:r>
              <w:t xml:space="preserve">Days to never</w:t>
            </w:r>
          </w:p>
        </w:tc>
        <w:tc>
          <w:tcPr/>
          <w:p>
            <w:pPr>
              <w:pStyle w:val="Compact"/>
            </w:pPr>
            <w:r>
              <w:t xml:space="preserve">Minutes (automated rule)</w:t>
            </w:r>
          </w:p>
        </w:tc>
      </w:tr>
      <w:tr>
        <w:tc>
          <w:tcPr/>
          <w:p>
            <w:pPr>
              <w:pStyle w:val="Compact"/>
            </w:pPr>
            <w:r>
              <w:t xml:space="preserve">KEV CVE exploitation attempt</w:t>
            </w:r>
          </w:p>
        </w:tc>
        <w:tc>
          <w:tcPr/>
          <w:p>
            <w:pPr>
              <w:pStyle w:val="Compact"/>
            </w:pPr>
            <w:r>
              <w:t xml:space="preserve">Defender for Endpoint</w:t>
            </w:r>
          </w:p>
        </w:tc>
        <w:tc>
          <w:tcPr/>
          <w:p>
            <w:pPr>
              <w:pStyle w:val="Compact"/>
            </w:pPr>
            <w:r>
              <w:t xml:space="preserve">Hours to days</w:t>
            </w:r>
          </w:p>
        </w:tc>
        <w:tc>
          <w:tcPr/>
          <w:p>
            <w:pPr>
              <w:pStyle w:val="Compact"/>
            </w:pPr>
            <w:r>
              <w:t xml:space="preserve">Minutes (MDVM alert)</w:t>
            </w:r>
          </w:p>
        </w:tc>
      </w:tr>
      <w:tr>
        <w:tc>
          <w:tcPr/>
          <w:p>
            <w:pPr>
              <w:pStyle w:val="Compact"/>
            </w:pPr>
            <w:r>
              <w:t xml:space="preserve">Unusual data exfil via SASE</w:t>
            </w:r>
          </w:p>
        </w:tc>
        <w:tc>
          <w:tcPr/>
          <w:p>
            <w:pPr>
              <w:pStyle w:val="Compact"/>
            </w:pPr>
            <w:r>
              <w:t xml:space="preserve">SASE flow telemetry</w:t>
            </w:r>
          </w:p>
        </w:tc>
        <w:tc>
          <w:tcPr/>
          <w:p>
            <w:pPr>
              <w:pStyle w:val="Compact"/>
            </w:pPr>
            <w:r>
              <w:t xml:space="preserve">Never (no baseline)</w:t>
            </w:r>
          </w:p>
        </w:tc>
        <w:tc>
          <w:tcPr/>
          <w:p>
            <w:pPr>
              <w:pStyle w:val="Compact"/>
            </w:pPr>
            <w:r>
              <w:t xml:space="preserve">Hours (UEBA)</w:t>
            </w:r>
          </w:p>
        </w:tc>
      </w:tr>
      <w:tr>
        <w:tc>
          <w:tcPr/>
          <w:p>
            <w:pPr>
              <w:pStyle w:val="Compact"/>
            </w:pPr>
            <w:r>
              <w:t xml:space="preserve">PIM role activation at 3 AM</w:t>
            </w:r>
          </w:p>
        </w:tc>
        <w:tc>
          <w:tcPr/>
          <w:p>
            <w:pPr>
              <w:pStyle w:val="Compact"/>
            </w:pPr>
            <w:r>
              <w:t xml:space="preserve">Entra audit log</w:t>
            </w:r>
          </w:p>
        </w:tc>
        <w:tc>
          <w:tcPr/>
          <w:p>
            <w:pPr>
              <w:pStyle w:val="Compact"/>
            </w:pPr>
            <w:r>
              <w:t xml:space="preserve">Days to never</w:t>
            </w:r>
          </w:p>
        </w:tc>
        <w:tc>
          <w:tcPr/>
          <w:p>
            <w:pPr>
              <w:pStyle w:val="Compact"/>
            </w:pPr>
            <w:r>
              <w:t xml:space="preserve">Minutes (automated rule)</w:t>
            </w:r>
          </w:p>
        </w:tc>
      </w:tr>
    </w:tbl>
    <w:p>
      <w:pPr>
        <w:pStyle w:val="BodyText"/>
      </w:pPr>
      <w:r>
        <w:t xml:space="preserve">The</w:t>
      </w:r>
      <w:r>
        <w:t xml:space="preserve"> </w:t>
      </w:r>
      <w:r>
        <w:t xml:space="preserve">“days to never”</w:t>
      </w:r>
      <w:r>
        <w:t xml:space="preserve"> </w:t>
      </w:r>
      <w:r>
        <w:t xml:space="preserve">entries are not hypothetical. Manual log review at agency scale, across multiple log sources, with no automated rule to surface the relevant event, produces detection latencies measured in weeks — when detection occurs at all. The 2023 CISA/NSA advisory on Microsoft cloud security vulnerabilities documented cases where adversaries maintained persistent access to federal tenant environments for months before detection, specifically because log data was present but not monitored by active detection rules.</w:t>
      </w:r>
    </w:p>
    <w:bookmarkEnd w:id="177"/>
    <w:bookmarkStart w:id="178" w:name="the-fedramp-assessor-evidence-standard"/>
    <w:p>
      <w:pPr>
        <w:pStyle w:val="Heading2"/>
      </w:pPr>
      <w:r>
        <w:t xml:space="preserve">The FedRAMP Assessor Evidence Standard</w:t>
      </w:r>
    </w:p>
    <w:p>
      <w:pPr>
        <w:pStyle w:val="FirstParagraph"/>
      </w:pPr>
      <w:r>
        <w:t xml:space="preserve">The practical evidence standard for AU-6 compliance in a FedRAMP assessment is not whether logs exist — it is whether the detection-to-response chain produced a documented artifact. That artifact has four components:</w:t>
      </w:r>
    </w:p>
    <w:p>
      <w:pPr>
        <w:pStyle w:val="Compact"/>
        <w:numPr>
          <w:ilvl w:val="0"/>
          <w:numId w:val="1015"/>
        </w:numPr>
      </w:pPr>
      <w:r>
        <w:rPr>
          <w:b/>
          <w:bCs/>
        </w:rPr>
        <w:t xml:space="preserve">Alert record</w:t>
      </w:r>
      <w:r>
        <w:t xml:space="preserve"> </w:t>
      </w:r>
      <w:r>
        <w:t xml:space="preserve">— a timestamped SIEM incident showing what rule fired, what evidence triggered it, and when.</w:t>
      </w:r>
    </w:p>
    <w:p>
      <w:pPr>
        <w:pStyle w:val="Compact"/>
        <w:numPr>
          <w:ilvl w:val="0"/>
          <w:numId w:val="1015"/>
        </w:numPr>
      </w:pPr>
      <w:r>
        <w:rPr>
          <w:b/>
          <w:bCs/>
        </w:rPr>
        <w:t xml:space="preserve">Incident ticket</w:t>
      </w:r>
      <w:r>
        <w:t xml:space="preserve"> </w:t>
      </w:r>
      <w:r>
        <w:t xml:space="preserve">— a ServiceNow, Jira, or equivalent ticket created in response to the alert, linked to the SIEM incident.</w:t>
      </w:r>
    </w:p>
    <w:p>
      <w:pPr>
        <w:pStyle w:val="Compact"/>
        <w:numPr>
          <w:ilvl w:val="0"/>
          <w:numId w:val="1015"/>
        </w:numPr>
      </w:pPr>
      <w:r>
        <w:rPr>
          <w:b/>
          <w:bCs/>
        </w:rPr>
        <w:t xml:space="preserve">Response documentation</w:t>
      </w:r>
      <w:r>
        <w:t xml:space="preserve"> </w:t>
      </w:r>
      <w:r>
        <w:t xml:space="preserve">— notes, timestamps, and disposition recorded in the ticket showing what the analyst did.</w:t>
      </w:r>
    </w:p>
    <w:p>
      <w:pPr>
        <w:pStyle w:val="Compact"/>
        <w:numPr>
          <w:ilvl w:val="0"/>
          <w:numId w:val="1015"/>
        </w:numPr>
      </w:pPr>
      <w:r>
        <w:rPr>
          <w:b/>
          <w:bCs/>
        </w:rPr>
        <w:t xml:space="preserve">Closure record</w:t>
      </w:r>
      <w:r>
        <w:t xml:space="preserve"> </w:t>
      </w:r>
      <w:r>
        <w:t xml:space="preserve">— documented determination of true positive or false positive, and if true positive, the remediation action and verification.</w:t>
      </w:r>
    </w:p>
    <w:p>
      <w:pPr>
        <w:pStyle w:val="FirstParagraph"/>
      </w:pPr>
      <w:r>
        <w:t xml:space="preserve">Microsoft Sentinel produces items 1 and 2 natively through its incident workflow and ServiceNow connector. Items 3 and 4 require analyst discipline in ticket documentation. This document covers all four.</w:t>
      </w:r>
    </w:p>
    <w:bookmarkEnd w:id="178"/>
    <w:bookmarkEnd w:id="179"/>
    <w:bookmarkStart w:id="188" w:name="X0d75b98507d9d6fc10c7f26b77a6afce1b6beec"/>
    <w:p>
      <w:pPr>
        <w:pStyle w:val="Heading1"/>
      </w:pPr>
      <w:r>
        <w:t xml:space="preserve">Microsoft Sentinel Connector Architecture</w:t>
      </w:r>
    </w:p>
    <w:bookmarkStart w:id="180" w:name="overview"/>
    <w:p>
      <w:pPr>
        <w:pStyle w:val="Heading2"/>
      </w:pPr>
      <w:r>
        <w:t xml:space="preserve">Overview</w:t>
      </w:r>
    </w:p>
    <w:p>
      <w:pPr>
        <w:pStyle w:val="FirstParagraph"/>
      </w:pPr>
      <w:r>
        <w:t xml:space="preserve">Microsoft Sentinel connects to log sources through named data connectors. Each connector handles authentication to the source system, normalization of incoming events into the Azure Monitor Sentinel table schema, and optional field parsing into the Advanced Security Information Model (ASIM) normalized schema. The log sources from the Volume I, Volume II, and Volume III books preceding this one map directly to available Sentinel connectors with no custom integration required for the primary sources.</w:t>
      </w:r>
    </w:p>
    <w:bookmarkEnd w:id="180"/>
    <w:bookmarkStart w:id="181" w:name="connector-infoblox-nios-syslog-cefsyslog"/>
    <w:p>
      <w:pPr>
        <w:pStyle w:val="Heading2"/>
      </w:pPr>
      <w:r>
        <w:t xml:space="preserve">Connector: InfoBlox NIOS Syslog (CEF/Syslog)</w:t>
      </w:r>
    </w:p>
    <w:p>
      <w:pPr>
        <w:pStyle w:val="FirstParagraph"/>
      </w:pPr>
      <w:r>
        <w:t xml:space="preserve">InfoBlox NIOS does not have a native Sentinel connector with first-party schema mapping. The integration path uses the Common Event Format (CEF) over syslog to a log forwarder VM running the Log Analytics agent.</w:t>
      </w:r>
    </w:p>
    <w:p>
      <w:pPr>
        <w:pStyle w:val="BodyText"/>
      </w:pPr>
      <w:r>
        <w:rPr>
          <w:b/>
          <w:bCs/>
        </w:rPr>
        <w:t xml:space="preserve">Architecture:</w:t>
      </w:r>
      <w:r>
        <w:t xml:space="preserve"> </w:t>
      </w:r>
      <w:r>
        <w:t xml:space="preserve">InfoBlox NIOS is configured to forward syslog to a dedicated Linux forwarder VM (minimum Standard_B2s, separate from production infrastructure). The forwarder runs the Log Analytics agent with the CEF daemon (rsyslog or syslog-ng) configured to listen on UDP 514. The agent forwards CEF-formatted events to the Log Analytics workspace. InfoBlox DNS RPZ events arrive with event category</w:t>
      </w:r>
      <w:r>
        <w:t xml:space="preserve"> </w:t>
      </w:r>
      <w:r>
        <w:rPr>
          <w:rStyle w:val="VerbatimChar"/>
        </w:rPr>
        <w:t xml:space="preserve">DNS_RPZ</w:t>
      </w:r>
      <w:r>
        <w:t xml:space="preserve">; DHCP events arrive as</w:t>
      </w:r>
      <w:r>
        <w:t xml:space="preserve"> </w:t>
      </w:r>
      <w:r>
        <w:rPr>
          <w:rStyle w:val="VerbatimChar"/>
        </w:rPr>
        <w:t xml:space="preserve">DHCP_LEASE</w:t>
      </w:r>
      <w:r>
        <w:t xml:space="preserve">; DNSSEC failures arrive as</w:t>
      </w:r>
      <w:r>
        <w:t xml:space="preserve"> </w:t>
      </w:r>
      <w:r>
        <w:rPr>
          <w:rStyle w:val="VerbatimChar"/>
        </w:rPr>
        <w:t xml:space="preserve">DNS_DNSSEC_FAIL</w:t>
      </w:r>
      <w:r>
        <w:t xml:space="preserve">.</w:t>
      </w:r>
    </w:p>
    <w:p>
      <w:pPr>
        <w:pStyle w:val="BodyText"/>
      </w:pPr>
      <w:r>
        <w:rPr>
          <w:b/>
          <w:bCs/>
        </w:rPr>
        <w:t xml:space="preserve">Estimated EPS:</w:t>
      </w:r>
      <w:r>
        <w:t xml:space="preserve"> </w:t>
      </w:r>
      <w:r>
        <w:t xml:space="preserve">A mid-size federal agency resolving 500,000 DNS queries per day generates approximately 6 EPS average, with spikes to 50–100 EPS during business hours. RPZ hits are a small fraction — typically less than 0.1% of query volume, or fewer than 1 event per minute. DHCP lease events at 10,000 endpoints average 0.5 EPS. Total InfoBlox contribution: approximately 6.5–7 EPS average (the ~6 EPS DNS baseline plus DHCP and sub-1-per-minute RPZ events), rising with the business-hours DNS spikes noted above.</w:t>
      </w:r>
    </w:p>
    <w:p>
      <w:pPr>
        <w:pStyle w:val="BodyText"/>
      </w:pPr>
      <w:r>
        <w:rPr>
          <w:b/>
          <w:bCs/>
        </w:rPr>
        <w:t xml:space="preserve">Table in Sentinel:</w:t>
      </w:r>
      <w:r>
        <w:t xml:space="preserve"> </w:t>
      </w:r>
      <w:r>
        <w:rPr>
          <w:rStyle w:val="VerbatimChar"/>
        </w:rPr>
        <w:t xml:space="preserve">CommonSecurityLog</w:t>
      </w:r>
      <w:r>
        <w:t xml:space="preserve"> </w:t>
      </w:r>
      <w:r>
        <w:t xml:space="preserve">(CEF) with</w:t>
      </w:r>
      <w:r>
        <w:t xml:space="preserve"> </w:t>
      </w:r>
      <w:r>
        <w:rPr>
          <w:rStyle w:val="VerbatimChar"/>
        </w:rPr>
        <w:t xml:space="preserve">DeviceVendor == "Infoblox"</w:t>
      </w:r>
      <w:r>
        <w:t xml:space="preserve">.</w:t>
      </w:r>
    </w:p>
    <w:p>
      <w:pPr>
        <w:pStyle w:val="BodyText"/>
      </w:pPr>
      <w:r>
        <w:rPr>
          <w:b/>
          <w:bCs/>
        </w:rPr>
        <w:t xml:space="preserve">ASIM normalization:</w:t>
      </w:r>
      <w:r>
        <w:t xml:space="preserve"> </w:t>
      </w:r>
      <w:r>
        <w:t xml:space="preserve">InfoBlox CEF events map to the ASIM DNS schema (</w:t>
      </w:r>
      <w:r>
        <w:rPr>
          <w:rStyle w:val="VerbatimChar"/>
        </w:rPr>
        <w:t xml:space="preserve">_Im_Dns</w:t>
      </w:r>
      <w:r>
        <w:t xml:space="preserve">) and ASIM Network Session schema (</w:t>
      </w:r>
      <w:r>
        <w:rPr>
          <w:rStyle w:val="VerbatimChar"/>
        </w:rPr>
        <w:t xml:space="preserve">_Im_NetworkSession</w:t>
      </w:r>
      <w:r>
        <w:t xml:space="preserve">) using the built-in ASIM parsers for InfoBlox. Enable these parsers to allow ASIM-based detection rules to operate across InfoBlox and other DNS sources uniformly.</w:t>
      </w:r>
    </w:p>
    <w:p>
      <w:pPr>
        <w:pStyle w:val="SourceCode"/>
      </w:pPr>
      <w:r>
        <w:rPr>
          <w:rStyle w:val="CommentTok"/>
        </w:rPr>
        <w:t xml:space="preserve"># Verify InfoBlox CEF connector is receiving data</w:t>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"&lt;your-log-analytics-workspace-id&gt;"</w:t>
      </w:r>
      <w:r>
        <w:br/>
      </w:r>
      <w:r>
        <w:rPr>
          <w:rStyle w:val="VariableTok"/>
        </w:rPr>
        <w:t xml:space="preserve">$Query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CommonSecurityLog</w:t>
      </w:r>
      <w:r>
        <w:br/>
      </w:r>
      <w:r>
        <w:rPr>
          <w:rStyle w:val="VerbatimStringTok"/>
        </w:rPr>
        <w:t xml:space="preserve">| where DeviceVendor == "Infoblox"</w:t>
      </w:r>
      <w:r>
        <w:br/>
      </w:r>
      <w:r>
        <w:rPr>
          <w:rStyle w:val="VerbatimStringTok"/>
        </w:rPr>
        <w:t xml:space="preserve">| summarize count by bin(TimeGenerated, 1h), DeviceEventClassID</w:t>
      </w:r>
      <w:r>
        <w:br/>
      </w:r>
      <w:r>
        <w:rPr>
          <w:rStyle w:val="VerbatimStringTok"/>
        </w:rPr>
        <w:t xml:space="preserve">| order by TimeGenerated desc</w:t>
      </w:r>
      <w:r>
        <w:br/>
      </w:r>
      <w:r>
        <w:rPr>
          <w:rStyle w:val="VerbatimStringTok"/>
        </w:rPr>
        <w:t xml:space="preserve">| take 24</w:t>
      </w:r>
      <w:r>
        <w:br/>
      </w:r>
      <w:r>
        <w:rPr>
          <w:rStyle w:val="VerbatimStringTok"/>
        </w:rPr>
        <w:t xml:space="preserve">"@</w:t>
      </w:r>
      <w:r>
        <w:br/>
      </w:r>
      <w:r>
        <w:br/>
      </w:r>
      <w:r>
        <w:rPr>
          <w:rStyle w:val="NormalTok"/>
        </w:rPr>
        <w:t xml:space="preserve">Invoke-AzOperationalInsightsQuery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 </w:t>
      </w:r>
      <w:r>
        <w:rPr>
          <w:rStyle w:val="OperatorTok"/>
        </w:rPr>
        <w:t xml:space="preserve">|</w:t>
      </w:r>
      <w:r>
        <w:br/>
      </w:r>
      <w:r>
        <w:rPr>
          <w:rStyle w:val="NormalTok"/>
        </w:rPr>
        <w:t xml:space="preserve">    </w:t>
      </w:r>
      <w:r>
        <w:rPr>
          <w:rStyle w:val="FunctionTok"/>
        </w:rPr>
        <w:t xml:space="preserve">Format-Table</w:t>
      </w:r>
      <w:r>
        <w:rPr>
          <w:rStyle w:val="NormalTok"/>
        </w:rPr>
        <w:t xml:space="preserve"> TimeGenerated</w:t>
      </w:r>
      <w:r>
        <w:rPr>
          <w:rStyle w:val="OperatorTok"/>
        </w:rPr>
        <w:t xml:space="preserve">,</w:t>
      </w:r>
      <w:r>
        <w:rPr>
          <w:rStyle w:val="NormalTok"/>
        </w:rPr>
        <w:t xml:space="preserve"> DeviceEventClassID</w:t>
      </w:r>
      <w:r>
        <w:rPr>
          <w:rStyle w:val="OperatorTok"/>
        </w:rPr>
        <w:t xml:space="preserve">,</w:t>
      </w:r>
      <w:r>
        <w:rPr>
          <w:rStyle w:val="NormalTok"/>
        </w:rPr>
        <w:t xml:space="preserve"> count_</w:t>
      </w:r>
    </w:p>
    <w:bookmarkEnd w:id="181"/>
    <w:bookmarkStart w:id="182" w:name="Xb12519c569b3cd1fb3ea60b43ac53c9f07c5df6"/>
    <w:p>
      <w:pPr>
        <w:pStyle w:val="Heading2"/>
      </w:pPr>
      <w:r>
        <w:t xml:space="preserve">Connector: Entra ID (Azure Active Directory Connector)</w:t>
      </w:r>
    </w:p>
    <w:p>
      <w:pPr>
        <w:pStyle w:val="FirstParagraph"/>
      </w:pPr>
      <w:r>
        <w:t xml:space="preserve">The Entra ID connector is a first-party Sentinel connector that pulls sign-in logs, audit logs, risky users, and risky sign-in events directly from the Entra ID diagnostic settings pipeline through the Log Analytics workspace.</w:t>
      </w:r>
    </w:p>
    <w:p>
      <w:pPr>
        <w:pStyle w:val="BodyText"/>
      </w:pPr>
      <w:r>
        <w:rPr>
          <w:b/>
          <w:bCs/>
        </w:rPr>
        <w:t xml:space="preserve">Enabling the connector:</w:t>
      </w:r>
      <w:r>
        <w:t xml:space="preserve"> </w:t>
      </w:r>
      <w:r>
        <w:t xml:space="preserve">In the Sentinel workspace, navigate to Data Connectors, select Azure Active Directory, and enable the following log categories: Sign-in Logs, Audit Logs, Non-Interactive User Sign-In Logs, Service Principal Sign-In Logs, Managed Identity Sign-In Logs, Risky Users, and Risk Events. All categories are required for the detection rules in Section 4.</w:t>
      </w:r>
    </w:p>
    <w:p>
      <w:pPr>
        <w:pStyle w:val="BodyText"/>
      </w:pPr>
      <w:r>
        <w:rPr>
          <w:b/>
          <w:bCs/>
        </w:rPr>
        <w:t xml:space="preserve">Estimated EPS:</w:t>
      </w:r>
      <w:r>
        <w:t xml:space="preserve"> </w:t>
      </w:r>
      <w:r>
        <w:t xml:space="preserve">At 5,000 users, Entra ID generates approximately 50,000–200,000 sign-in events per day depending on MFA frequency and application count, averaging roughly 0.6–2.3 EPS. Audit log events (role changes, policy changes, user provisioning) average 0.5–2 EPS. Risky user and risk event logs are low volume (fewer than 1 EPS) but high value.</w:t>
      </w:r>
    </w:p>
    <w:p>
      <w:pPr>
        <w:pStyle w:val="BodyText"/>
      </w:pPr>
      <w:r>
        <w:rPr>
          <w:b/>
          <w:bCs/>
        </w:rPr>
        <w:t xml:space="preserve">Tables in Sentinel:</w:t>
      </w:r>
      <w:r>
        <w:t xml:space="preserve"> </w:t>
      </w:r>
      <w:r>
        <w:rPr>
          <w:rStyle w:val="VerbatimChar"/>
        </w:rPr>
        <w:t xml:space="preserve">SigninLogs</w:t>
      </w:r>
      <w:r>
        <w:t xml:space="preserve">,</w:t>
      </w:r>
      <w:r>
        <w:t xml:space="preserve"> </w:t>
      </w:r>
      <w:r>
        <w:rPr>
          <w:rStyle w:val="VerbatimChar"/>
        </w:rPr>
        <w:t xml:space="preserve">AuditLogs</w:t>
      </w:r>
      <w:r>
        <w:t xml:space="preserve">,</w:t>
      </w:r>
      <w:r>
        <w:t xml:space="preserve"> </w:t>
      </w:r>
      <w:r>
        <w:rPr>
          <w:rStyle w:val="VerbatimChar"/>
        </w:rPr>
        <w:t xml:space="preserve">AADNonInteractiveUserSignInLogs</w:t>
      </w:r>
      <w:r>
        <w:t xml:space="preserve">,</w:t>
      </w:r>
      <w:r>
        <w:t xml:space="preserve"> </w:t>
      </w:r>
      <w:r>
        <w:rPr>
          <w:rStyle w:val="VerbatimChar"/>
        </w:rPr>
        <w:t xml:space="preserve">AADServicePrincipalSignInLogs</w:t>
      </w:r>
      <w:r>
        <w:t xml:space="preserve">,</w:t>
      </w:r>
      <w:r>
        <w:t xml:space="preserve"> </w:t>
      </w:r>
      <w:r>
        <w:rPr>
          <w:rStyle w:val="VerbatimChar"/>
        </w:rPr>
        <w:t xml:space="preserve">AADManagedIdentitySignInLogs</w:t>
      </w:r>
      <w:r>
        <w:t xml:space="preserve">,</w:t>
      </w:r>
      <w:r>
        <w:t xml:space="preserve"> </w:t>
      </w:r>
      <w:r>
        <w:rPr>
          <w:rStyle w:val="VerbatimChar"/>
        </w:rPr>
        <w:t xml:space="preserve">AADUserRiskEvents</w:t>
      </w:r>
      <w:r>
        <w:t xml:space="preserve">,</w:t>
      </w:r>
      <w:r>
        <w:t xml:space="preserve"> </w:t>
      </w:r>
      <w:r>
        <w:rPr>
          <w:rStyle w:val="VerbatimChar"/>
        </w:rPr>
        <w:t xml:space="preserve">AADRiskyUsers</w:t>
      </w:r>
      <w:r>
        <w:t xml:space="preserve">.</w:t>
      </w:r>
    </w:p>
    <w:p>
      <w:pPr>
        <w:pStyle w:val="SourceCode"/>
      </w:pPr>
      <w:r>
        <w:rPr>
          <w:rStyle w:val="CommentTok"/>
        </w:rPr>
        <w:t xml:space="preserve"># Check Entra ID log ingestion health across all tables</w:t>
      </w:r>
      <w:r>
        <w:br/>
      </w:r>
      <w:r>
        <w:rPr>
          <w:rStyle w:val="VariableTok"/>
        </w:rPr>
        <w:t xml:space="preserv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"AADRiskyUsers"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$Tables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$Table</w:t>
      </w:r>
      <w:r>
        <w:rPr>
          <w:rStyle w:val="StringTok"/>
        </w:rPr>
        <w:t xml:space="preserve"> | summarize LastEvent=max(TimeGenerated), EventCount=count | take 1"</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Invoke-AzOperationalInsightsQuery `</w:t>
      </w:r>
      <w:r>
        <w:br/>
      </w:r>
      <w:r>
        <w:rPr>
          <w:rStyle w:val="NormalTok"/>
        </w:rPr>
        <w:t xml:space="preserve">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w:t>
      </w:r>
      <w:r>
        <w:br/>
      </w:r>
      <w:r>
        <w:rPr>
          <w:rStyle w:val="NormalTok"/>
        </w:rPr>
        <w:t xml:space="preserve">    </w:t>
      </w:r>
      <w:r>
        <w:rPr>
          <w:rStyle w:val="FunctionTok"/>
        </w:rPr>
        <w:t xml:space="preserve">Write-Output</w:t>
      </w:r>
      <w:r>
        <w:rPr>
          <w:rStyle w:val="NormalTok"/>
        </w:rPr>
        <w:t xml:space="preserve"> </w:t>
      </w:r>
      <w:r>
        <w:rPr>
          <w:rStyle w:val="StringTok"/>
        </w:rPr>
        <w:t xml:space="preserve">"</w:t>
      </w:r>
      <w:r>
        <w:rPr>
          <w:rStyle w:val="VariableTok"/>
        </w:rPr>
        <w:t xml:space="preserve">$Table</w:t>
      </w:r>
      <w:r>
        <w:rPr>
          <w:rStyle w:val="StringTok"/>
        </w:rPr>
        <w:t xml:space="preserve"> — LastEvent: </w:t>
      </w:r>
      <w:r>
        <w:rPr>
          <w:rStyle w:val="OperatorTok"/>
        </w:rPr>
        <w:t xml:space="preserve">$(</w:t>
      </w:r>
      <w:r>
        <w:rPr>
          <w:rStyle w:val="VariableTok"/>
        </w:rPr>
        <w:t xml:space="preserve">$Result</w:t>
      </w:r>
      <w:r>
        <w:rPr>
          <w:rStyle w:val="OperatorTok"/>
        </w:rPr>
        <w:t xml:space="preserve">.</w:t>
      </w:r>
      <w:r>
        <w:rPr>
          <w:rStyle w:val="FunctionTok"/>
        </w:rPr>
        <w:t xml:space="preserve">LastEvent</w:t>
      </w:r>
      <w:r>
        <w:rPr>
          <w:rStyle w:val="OperatorTok"/>
        </w:rPr>
        <w:t xml:space="preserve">)</w:t>
      </w:r>
      <w:r>
        <w:rPr>
          <w:rStyle w:val="StringTok"/>
        </w:rPr>
        <w:t xml:space="preserve"> — Count: </w:t>
      </w:r>
      <w:r>
        <w:rPr>
          <w:rStyle w:val="OperatorTok"/>
        </w:rPr>
        <w:t xml:space="preserve">$(</w:t>
      </w:r>
      <w:r>
        <w:rPr>
          <w:rStyle w:val="VariableTok"/>
        </w:rPr>
        <w:t xml:space="preserve">$Result</w:t>
      </w:r>
      <w:r>
        <w:rPr>
          <w:rStyle w:val="OperatorTok"/>
        </w:rPr>
        <w:t xml:space="preserve">.</w:t>
      </w:r>
      <w:r>
        <w:rPr>
          <w:rStyle w:val="FunctionTok"/>
        </w:rPr>
        <w:t xml:space="preserve">EventCount</w:t>
      </w:r>
      <w:r>
        <w:rPr>
          <w:rStyle w:val="OperatorTok"/>
        </w:rPr>
        <w:t xml:space="preserve">)</w:t>
      </w:r>
      <w:r>
        <w:rPr>
          <w:rStyle w:val="StringTok"/>
        </w:rPr>
        <w:t xml:space="preserve">"</w:t>
      </w:r>
      <w:r>
        <w:br/>
      </w:r>
      <w:r>
        <w:rPr>
          <w:rStyle w:val="OperatorTok"/>
        </w:rPr>
        <w:t xml:space="preserve">}</w:t>
      </w:r>
    </w:p>
    <w:bookmarkEnd w:id="182"/>
    <w:bookmarkStart w:id="183" w:name="X4d4acad2b5cc1a571467c318c05cc6d4bb067dd"/>
    <w:p>
      <w:pPr>
        <w:pStyle w:val="Heading2"/>
      </w:pPr>
      <w:r>
        <w:t xml:space="preserve">Connector: Microsoft Defender for Endpoint (Microsoft 365 Defender Connector)</w:t>
      </w:r>
    </w:p>
    <w:p>
      <w:pPr>
        <w:pStyle w:val="FirstParagraph"/>
      </w:pPr>
      <w:r>
        <w:t xml:space="preserve">The Microsoft 365 Defender connector streams raw device telemetry, alert data, and Advanced Hunting events from the Microsoft 365 Defender portal into Sentinel. This connector is required for the KEV exploitation detection rules in Section 4 and for the automated device isolation playbook in Section 6.</w:t>
      </w:r>
    </w:p>
    <w:p>
      <w:pPr>
        <w:pStyle w:val="BodyText"/>
      </w:pPr>
      <w:r>
        <w:rPr>
          <w:b/>
          <w:bCs/>
        </w:rPr>
        <w:t xml:space="preserve">Enabling the connector:</w:t>
      </w:r>
      <w:r>
        <w:t xml:space="preserve"> </w:t>
      </w:r>
      <w:r>
        <w:t xml:space="preserve">In Sentinel, select the Microsoft 365 Defender connector. Enable streaming for: DeviceEvents, DeviceAlertEvents, DeviceVulnerabilityAssessmentEvents, DeviceNetworkEvents, DeviceLogonEvents, and DeviceProcessEvents. The connector uses the Microsoft 365 Defender Streaming API and requires the Sentinel workspace to be in the same Azure geography as the M365 Defender tenant data residency.</w:t>
      </w:r>
    </w:p>
    <w:p>
      <w:pPr>
        <w:pStyle w:val="BodyText"/>
      </w:pPr>
      <w:r>
        <w:rPr>
          <w:b/>
          <w:bCs/>
        </w:rPr>
        <w:t xml:space="preserve">Estimated EPS:</w:t>
      </w:r>
      <w:r>
        <w:t xml:space="preserve"> </w:t>
      </w:r>
      <w:r>
        <w:t xml:space="preserve">Defender for Endpoint at 500 enrolled devices generates 200–500 EPS of raw device telemetry. Alert events are filtered (typically fewer than 10 per day in a steady-state environment) but device vulnerability and device logon events are high volume. Plan for 300–700 EPS from this connector at the 500-device scale.</w:t>
      </w:r>
    </w:p>
    <w:p>
      <w:pPr>
        <w:pStyle w:val="BodyText"/>
      </w:pPr>
      <w:r>
        <w:rPr>
          <w:b/>
          <w:bCs/>
        </w:rPr>
        <w:t xml:space="preserve">Tables in Sentinel:</w:t>
      </w:r>
      <w:r>
        <w:t xml:space="preserve"> </w:t>
      </w:r>
      <w:r>
        <w:rPr>
          <w:rStyle w:val="VerbatimChar"/>
        </w:rPr>
        <w:t xml:space="preserve">DeviceEvents</w:t>
      </w:r>
      <w:r>
        <w:t xml:space="preserve">,</w:t>
      </w:r>
      <w:r>
        <w:t xml:space="preserve"> </w:t>
      </w:r>
      <w:r>
        <w:rPr>
          <w:rStyle w:val="VerbatimChar"/>
        </w:rPr>
        <w:t xml:space="preserve">DeviceAlertEvents</w:t>
      </w:r>
      <w:r>
        <w:t xml:space="preserve">,</w:t>
      </w:r>
      <w:r>
        <w:t xml:space="preserve"> </w:t>
      </w:r>
      <w:r>
        <w:rPr>
          <w:rStyle w:val="VerbatimChar"/>
        </w:rPr>
        <w:t xml:space="preserve">DeviceVulnerabilityAssessmentEvent</w:t>
      </w:r>
      <w:r>
        <w:t xml:space="preserve">,</w:t>
      </w:r>
      <w:r>
        <w:t xml:space="preserve"> </w:t>
      </w:r>
      <w:r>
        <w:rPr>
          <w:rStyle w:val="VerbatimChar"/>
        </w:rPr>
        <w:t xml:space="preserve">DeviceNetworkEvents</w:t>
      </w:r>
      <w:r>
        <w:t xml:space="preserve">,</w:t>
      </w:r>
      <w:r>
        <w:t xml:space="preserve"> </w:t>
      </w:r>
      <w:r>
        <w:rPr>
          <w:rStyle w:val="VerbatimChar"/>
        </w:rPr>
        <w:t xml:space="preserve">DeviceLogonEvents</w:t>
      </w:r>
      <w:r>
        <w:t xml:space="preserve">,</w:t>
      </w:r>
      <w:r>
        <w:t xml:space="preserve"> </w:t>
      </w:r>
      <w:r>
        <w:rPr>
          <w:rStyle w:val="VerbatimChar"/>
        </w:rPr>
        <w:t xml:space="preserve">DeviceProcessEvents</w:t>
      </w:r>
      <w:r>
        <w:t xml:space="preserve">.</w:t>
      </w:r>
    </w:p>
    <w:bookmarkEnd w:id="183"/>
    <w:bookmarkStart w:id="184" w:name="X29a60f6c9c8d29d7466359d5bf4ea32bbecdeec"/>
    <w:p>
      <w:pPr>
        <w:pStyle w:val="Heading2"/>
      </w:pPr>
      <w:r>
        <w:t xml:space="preserve">Connector: SASE Platform (Zscaler or Netskope)</w:t>
      </w:r>
    </w:p>
    <w:p>
      <w:pPr>
        <w:pStyle w:val="FirstParagraph"/>
      </w:pPr>
      <w:r>
        <w:t xml:space="preserve">Both Zscaler (ZIA) and Netskope have published Sentinel data connectors available from the Microsoft Sentinel Content Hub.</w:t>
      </w:r>
    </w:p>
    <w:p>
      <w:pPr>
        <w:pStyle w:val="BodyText"/>
      </w:pPr>
      <w:r>
        <w:rPr>
          <w:b/>
          <w:bCs/>
        </w:rPr>
        <w:t xml:space="preserve">Zscaler ZIA connector:</w:t>
      </w:r>
      <w:r>
        <w:t xml:space="preserve"> </w:t>
      </w:r>
      <w:r>
        <w:t xml:space="preserve">The Zscaler ZIA connector for Sentinel uses the NSS (Nanolog Streaming Service) to forward web, firewall, DNS, and tunnel logs in CEF format to the Sentinel syslog forwarder. Enable Web Log, Firewall Log, DNS Log, and Tunnel Log streams in the ZIA Admin Portal under Nanolog Streaming Service. Web logs include user identity, URL, destination IP, bytes transferred, and DLP policy matches. The Sentinel table is</w:t>
      </w:r>
      <w:r>
        <w:t xml:space="preserve"> </w:t>
      </w:r>
      <w:r>
        <w:rPr>
          <w:rStyle w:val="VerbatimChar"/>
        </w:rPr>
        <w:t xml:space="preserve">CommonSecurityLog</w:t>
      </w:r>
      <w:r>
        <w:t xml:space="preserve"> </w:t>
      </w:r>
      <w:r>
        <w:t xml:space="preserve">filtered by</w:t>
      </w:r>
      <w:r>
        <w:t xml:space="preserve"> </w:t>
      </w:r>
      <w:r>
        <w:rPr>
          <w:rStyle w:val="VerbatimChar"/>
        </w:rPr>
        <w:t xml:space="preserve">DeviceVendor == "Zscaler"</w:t>
      </w:r>
      <w:r>
        <w:t xml:space="preserve">.</w:t>
      </w:r>
    </w:p>
    <w:p>
      <w:pPr>
        <w:pStyle w:val="BodyText"/>
      </w:pPr>
      <w:r>
        <w:rPr>
          <w:b/>
          <w:bCs/>
        </w:rPr>
        <w:t xml:space="preserve">Netskope connector:</w:t>
      </w:r>
      <w:r>
        <w:t xml:space="preserve"> </w:t>
      </w:r>
      <w:r>
        <w:t xml:space="preserve">The Netskope Cloud Exchange (CE) connector for Sentinel uses the Netskope REST API to pull transaction events, alert events, and infrastructure events. Install the Netskope CE module from the Sentinel Content Hub and configure the API token and data export settings. Netskope events land in custom tables:</w:t>
      </w:r>
      <w:r>
        <w:t xml:space="preserve"> </w:t>
      </w:r>
      <w:r>
        <w:rPr>
          <w:rStyle w:val="VerbatimChar"/>
        </w:rPr>
        <w:t xml:space="preserve">Netskope_CL</w:t>
      </w:r>
      <w:r>
        <w:t xml:space="preserve"> </w:t>
      </w:r>
      <w:r>
        <w:t xml:space="preserve">for transaction events and</w:t>
      </w:r>
      <w:r>
        <w:t xml:space="preserve"> </w:t>
      </w:r>
      <w:r>
        <w:rPr>
          <w:rStyle w:val="VerbatimChar"/>
        </w:rPr>
        <w:t xml:space="preserve">NetskopeAlerts_CL</w:t>
      </w:r>
      <w:r>
        <w:t xml:space="preserve"> </w:t>
      </w:r>
      <w:r>
        <w:t xml:space="preserve">for alert events.</w:t>
      </w:r>
    </w:p>
    <w:p>
      <w:pPr>
        <w:pStyle w:val="BodyText"/>
      </w:pPr>
      <w:r>
        <w:rPr>
          <w:b/>
          <w:bCs/>
        </w:rPr>
        <w:t xml:space="preserve">Estimated EPS:</w:t>
      </w:r>
      <w:r>
        <w:t xml:space="preserve"> </w:t>
      </w:r>
      <w:r>
        <w:t xml:space="preserve">SASE flow logs at 5,000 users generate 100–500 EPS during business hours depending on web filtering policy granularity. Data loss prevention (DLP) events are lower volume (1–5 EPS average) but higher value for detection purposes.</w:t>
      </w:r>
    </w:p>
    <w:bookmarkEnd w:id="184"/>
    <w:bookmarkStart w:id="185" w:name="X5f177b50fbdaaae73f5df7c0f6f3564a5efbb2a"/>
    <w:p>
      <w:pPr>
        <w:pStyle w:val="Heading2"/>
      </w:pPr>
      <w:r>
        <w:t xml:space="preserve">Connector: SQL Audit Logs (Azure Monitor / Defender for SQL)</w:t>
      </w:r>
    </w:p>
    <w:p>
      <w:pPr>
        <w:pStyle w:val="FirstParagraph"/>
      </w:pPr>
      <w:r>
        <w:t xml:space="preserve">SQL Server audit logs from Arc-connected instances flow through the Azure Monitor Agent (AMA) pipeline established in Vol II Book 02 (SQL Server Implementation Guide). Defender for SQL receives these logs through the AMA channel and surfaces findings as Microsoft Defender alerts in Sentinel.</w:t>
      </w:r>
    </w:p>
    <w:p>
      <w:pPr>
        <w:pStyle w:val="BodyText"/>
      </w:pPr>
      <w:r>
        <w:rPr>
          <w:b/>
          <w:bCs/>
        </w:rPr>
        <w:t xml:space="preserve">Table in Sentinel:</w:t>
      </w:r>
      <w:r>
        <w:t xml:space="preserve"> </w:t>
      </w:r>
      <w:r>
        <w:rPr>
          <w:rStyle w:val="VerbatimChar"/>
        </w:rPr>
        <w:t xml:space="preserve">AzureDiagnostics</w:t>
      </w:r>
      <w:r>
        <w:t xml:space="preserve"> </w:t>
      </w:r>
      <w:r>
        <w:t xml:space="preserve">(SQL audit logs from Arc-managed instances),</w:t>
      </w:r>
      <w:r>
        <w:t xml:space="preserve"> </w:t>
      </w:r>
      <w:r>
        <w:rPr>
          <w:rStyle w:val="VerbatimChar"/>
        </w:rPr>
        <w:t xml:space="preserve">SecurityAlert</w:t>
      </w:r>
      <w:r>
        <w:t xml:space="preserve"> </w:t>
      </w:r>
      <w:r>
        <w:t xml:space="preserve">filtered by</w:t>
      </w:r>
      <w:r>
        <w:t xml:space="preserve"> </w:t>
      </w:r>
      <w:r>
        <w:rPr>
          <w:rStyle w:val="VerbatimChar"/>
        </w:rPr>
        <w:t xml:space="preserve">ProductName == "Microsoft Defender for SQL"</w:t>
      </w:r>
      <w:r>
        <w:t xml:space="preserve">.</w:t>
      </w:r>
    </w:p>
    <w:p>
      <w:pPr>
        <w:pStyle w:val="BodyText"/>
      </w:pPr>
      <w:r>
        <w:rPr>
          <w:b/>
          <w:bCs/>
        </w:rPr>
        <w:t xml:space="preserve">Estimated EPS:</w:t>
      </w:r>
      <w:r>
        <w:t xml:space="preserve"> </w:t>
      </w:r>
      <w:r>
        <w:t xml:space="preserve">SQL Server audit logs at 20 database instances average 5–20 EPS depending on query volume and audit policy scope. Defender for SQL security alerts are low volume (fewer than 1 EPS) but should be treated as high priority.</w:t>
      </w:r>
    </w:p>
    <w:bookmarkEnd w:id="185"/>
    <w:bookmarkStart w:id="186" w:name="X0f00adbdcc2d20b371fd169b10c3d4b0b916755"/>
    <w:p>
      <w:pPr>
        <w:pStyle w:val="Heading2"/>
      </w:pPr>
      <w:r>
        <w:t xml:space="preserve">Connector: InfoBlox Threat Intelligence (TIDE) via TAXII</w:t>
      </w:r>
    </w:p>
    <w:p>
      <w:pPr>
        <w:pStyle w:val="FirstParagraph"/>
      </w:pPr>
      <w:r>
        <w:t xml:space="preserve">InfoBlox Threat Intelligence Data Exchange (TIDE) exposes a TAXII 2.1 server that publishes indicators of compromise (IOCs) — malicious domains, IPs, URLs, and file hashes — from InfoBlox’s threat research pipeline. The Sentinel Threat Intelligence TAXII connector ingests TIDE indicators directly into the</w:t>
      </w:r>
      <w:r>
        <w:t xml:space="preserve"> </w:t>
      </w:r>
      <w:r>
        <w:rPr>
          <w:rStyle w:val="VerbatimChar"/>
        </w:rPr>
        <w:t xml:space="preserve">ThreatIntelligenceIndicator</w:t>
      </w:r>
      <w:r>
        <w:t xml:space="preserve"> </w:t>
      </w:r>
      <w:r>
        <w:t xml:space="preserve">table, enabling automatic correlation of all log sources against known malicious indicators.</w:t>
      </w:r>
    </w:p>
    <w:p>
      <w:pPr>
        <w:pStyle w:val="BodyText"/>
      </w:pPr>
      <w:r>
        <w:rPr>
          <w:b/>
          <w:bCs/>
        </w:rPr>
        <w:t xml:space="preserve">Enabling the connector:</w:t>
      </w:r>
      <w:r>
        <w:t xml:space="preserve"> </w:t>
      </w:r>
      <w:r>
        <w:t xml:space="preserve">In Sentinel, select the Threat Intelligence — TAXII connector. Configure the TAXII server URL from the InfoBlox Cloud Services Portal (format:</w:t>
      </w:r>
      <w:r>
        <w:t xml:space="preserve"> </w:t>
      </w:r>
      <w:r>
        <w:rPr>
          <w:rStyle w:val="VerbatimChar"/>
        </w:rPr>
        <w:t xml:space="preserve">https://csp.infoblox.com/ti-taxii/taxii2/</w:t>
      </w:r>
      <w:r>
        <w:t xml:space="preserve">), and the collection ID for the TIDE intelligence feed. Set the polling interval to 60 minutes. TIDE IOC volume is typically 5,000–50,000 active indicators depending on the TIDE subscription tier.</w:t>
      </w:r>
    </w:p>
    <w:p>
      <w:pPr>
        <w:pStyle w:val="BodyText"/>
      </w:pPr>
      <w:r>
        <w:rPr>
          <w:b/>
          <w:bCs/>
        </w:rPr>
        <w:t xml:space="preserve">Automatic correlation:</w:t>
      </w:r>
      <w:r>
        <w:t xml:space="preserve"> </w:t>
      </w:r>
      <w:r>
        <w:t xml:space="preserve">Once TIDE indicators are in</w:t>
      </w:r>
      <w:r>
        <w:t xml:space="preserve"> </w:t>
      </w:r>
      <w:r>
        <w:rPr>
          <w:rStyle w:val="VerbatimChar"/>
        </w:rPr>
        <w:t xml:space="preserve">ThreatIntelligenceIndicator</w:t>
      </w:r>
      <w:r>
        <w:t xml:space="preserve">, Sentinel’s built-in TI map analytic rules automatically cross-reference all connected log sources against the indicator table every 15 minutes. Any DNS query in</w:t>
      </w:r>
      <w:r>
        <w:t xml:space="preserve"> </w:t>
      </w:r>
      <w:r>
        <w:rPr>
          <w:rStyle w:val="VerbatimChar"/>
        </w:rPr>
        <w:t xml:space="preserve">CommonSecurityLog</w:t>
      </w:r>
      <w:r>
        <w:t xml:space="preserve"> </w:t>
      </w:r>
      <w:r>
        <w:t xml:space="preserve">matching a TIDE malicious domain fires a Sentinel incident automatically with no custom KQL required.</w:t>
      </w:r>
    </w:p>
    <w:bookmarkEnd w:id="186"/>
    <w:bookmarkStart w:id="187" w:name="X0fe10d11e3c13618c5e02bb2585069043214ca8"/>
    <w:p>
      <w:pPr>
        <w:pStyle w:val="Heading2"/>
      </w:pPr>
      <w:r>
        <w:t xml:space="preserve">Log Analytics Workspace Retention Configuration</w:t>
      </w:r>
    </w:p>
    <w:p>
      <w:pPr>
        <w:pStyle w:val="FirstParagraph"/>
      </w:pPr>
      <w:r>
        <w:t xml:space="preserve">All Sentinel connectors write to a single Log Analytics workspace. Retention must be configured at the table level to satisfy AU-11 requirements. The cost and retention model has three tiers:</w:t>
      </w:r>
    </w:p>
    <w:p>
      <w:pPr>
        <w:pStyle w:val="TableCaption"/>
      </w:pPr>
      <w:r>
        <w:t xml:space="preserve">Log Analytics retention tier configuration</w:t>
      </w:r>
    </w:p>
    <w:tbl>
      <w:tblPr>
        <w:tblStyle w:val="Table"/>
        <w:tblW w:type="pct" w:w="5000"/>
        <w:tblLayout w:type="fixed"/>
        <w:tblLook w:firstRow="1" w:lastRow="0" w:firstColumn="0" w:lastColumn="0" w:noHBand="0" w:noVBand="0" w:val="0020"/>
        <w:tblCaption w:val="Log Analytics retention tier configuration"/>
      </w:tblPr>
      <w:tblGrid>
        <w:gridCol w:w="1980"/>
        <w:gridCol w:w="1980"/>
        <w:gridCol w:w="1980"/>
        <w:gridCol w:w="1980"/>
      </w:tblGrid>
      <w:tr>
        <w:trPr>
          <w:tblHeader w:val="on"/>
        </w:trPr>
        <w:tc>
          <w:tcPr/>
          <w:p>
            <w:pPr>
              <w:pStyle w:val="Compact"/>
            </w:pPr>
            <w:r>
              <w:t xml:space="preserve">Tier</w:t>
            </w:r>
          </w:p>
        </w:tc>
        <w:tc>
          <w:tcPr/>
          <w:p>
            <w:pPr>
              <w:pStyle w:val="Compact"/>
            </w:pPr>
            <w:r>
              <w:t xml:space="preserve">Retention Window</w:t>
            </w:r>
          </w:p>
        </w:tc>
        <w:tc>
          <w:tcPr/>
          <w:p>
            <w:pPr>
              <w:pStyle w:val="Compact"/>
            </w:pPr>
            <w:r>
              <w:t xml:space="preserve">Cost Model</w:t>
            </w:r>
          </w:p>
        </w:tc>
        <w:tc>
          <w:tcPr/>
          <w:p>
            <w:pPr>
              <w:pStyle w:val="Compact"/>
            </w:pPr>
            <w:r>
              <w:t xml:space="preserve">Use</w:t>
            </w:r>
          </w:p>
        </w:tc>
      </w:tr>
      <w:tr>
        <w:tc>
          <w:tcPr/>
          <w:p>
            <w:pPr>
              <w:pStyle w:val="Compact"/>
            </w:pPr>
            <w:r>
              <w:t xml:space="preserve">Interactive (Hot)</w:t>
            </w:r>
          </w:p>
        </w:tc>
        <w:tc>
          <w:tcPr/>
          <w:p>
            <w:pPr>
              <w:pStyle w:val="Compact"/>
            </w:pPr>
            <w:r>
              <w:t xml:space="preserve">90 days</w:t>
            </w:r>
          </w:p>
        </w:tc>
        <w:tc>
          <w:tcPr/>
          <w:p>
            <w:pPr>
              <w:pStyle w:val="Compact"/>
            </w:pPr>
            <w:r>
              <w:t xml:space="preserve">Per-GB ingestion + per-GB retention</w:t>
            </w:r>
          </w:p>
        </w:tc>
        <w:tc>
          <w:tcPr/>
          <w:p>
            <w:pPr>
              <w:pStyle w:val="Compact"/>
            </w:pPr>
            <w:r>
              <w:t xml:space="preserve">Active querying, alert evaluation, analyst investigation</w:t>
            </w:r>
          </w:p>
        </w:tc>
      </w:tr>
      <w:tr>
        <w:tc>
          <w:tcPr/>
          <w:p>
            <w:pPr>
              <w:pStyle w:val="Compact"/>
            </w:pPr>
            <w:r>
              <w:t xml:space="preserve">Archive</w:t>
            </w:r>
          </w:p>
        </w:tc>
        <w:tc>
          <w:tcPr/>
          <w:p>
            <w:pPr>
              <w:pStyle w:val="Compact"/>
            </w:pPr>
            <w:r>
              <w:t xml:space="preserve">Up to 7 years</w:t>
            </w:r>
          </w:p>
        </w:tc>
        <w:tc>
          <w:tcPr/>
          <w:p>
            <w:pPr>
              <w:pStyle w:val="Compact"/>
            </w:pPr>
            <w:r>
              <w:t xml:space="preserve">Per-GB archive retention (approximately 1/12 the hot cost)</w:t>
            </w:r>
          </w:p>
        </w:tc>
        <w:tc>
          <w:tcPr/>
          <w:p>
            <w:pPr>
              <w:pStyle w:val="Compact"/>
            </w:pPr>
            <w:r>
              <w:t xml:space="preserve">Long-term retention for AU-11; queryable but requires archive query job</w:t>
            </w:r>
          </w:p>
        </w:tc>
      </w:tr>
      <w:tr>
        <w:tc>
          <w:tcPr/>
          <w:p>
            <w:pPr>
              <w:pStyle w:val="Compact"/>
            </w:pPr>
            <w:r>
              <w:t xml:space="preserve">Azure Blob WORM</w:t>
            </w:r>
          </w:p>
        </w:tc>
        <w:tc>
          <w:tcPr/>
          <w:p>
            <w:pPr>
              <w:pStyle w:val="Compact"/>
            </w:pPr>
            <w:r>
              <w:t xml:space="preserve">Indefinite with legal hold</w:t>
            </w:r>
          </w:p>
        </w:tc>
        <w:tc>
          <w:tcPr/>
          <w:p>
            <w:pPr>
              <w:pStyle w:val="Compact"/>
            </w:pPr>
            <w:r>
              <w:t xml:space="preserve">Azure Blob Storage pricing + legal hold</w:t>
            </w:r>
          </w:p>
        </w:tc>
        <w:tc>
          <w:tcPr/>
          <w:p>
            <w:pPr>
              <w:pStyle w:val="Compact"/>
            </w:pPr>
            <w:r>
              <w:t xml:space="preserve">Immutable copy for NARA GRS 3.2 3-year minimum</w:t>
            </w:r>
          </w:p>
        </w:tc>
      </w:tr>
    </w:tbl>
    <w:p>
      <w:pPr>
        <w:pStyle w:val="SourceCode"/>
      </w:pPr>
      <w:r>
        <w:rPr>
          <w:rStyle w:val="CommentTok"/>
        </w:rPr>
        <w:t xml:space="preserve"># Set 90-day interactive retention and 2-year archive for high-volume tables</w:t>
      </w:r>
      <w:r>
        <w:br/>
      </w:r>
      <w:r>
        <w:rPr>
          <w:rStyle w:val="VariableTok"/>
        </w:rPr>
        <w:t xml:space="preserve">$WorkspaceRg</w:t>
      </w:r>
      <w:r>
        <w:rPr>
          <w:rStyle w:val="NormalTok"/>
        </w:rPr>
        <w:t xml:space="preserve">   </w:t>
      </w:r>
      <w:r>
        <w:rPr>
          <w:rStyle w:val="OperatorTok"/>
        </w:rPr>
        <w:t xml:space="preserve">=</w:t>
      </w:r>
      <w:r>
        <w:rPr>
          <w:rStyle w:val="NormalTok"/>
        </w:rPr>
        <w:t xml:space="preserve"> </w:t>
      </w:r>
      <w:r>
        <w:rPr>
          <w:rStyle w:val="StringTok"/>
        </w:rPr>
        <w:t xml:space="preserve">"&lt;resource-group&gt;"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br/>
      </w:r>
      <w:r>
        <w:rPr>
          <w:rStyle w:val="VariableTok"/>
        </w:rPr>
        <w:t xml:space="preserve">$HighVolumeTables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"DeviceEvents"</w:t>
      </w:r>
      <w:r>
        <w:rPr>
          <w:rStyle w:val="OperatorTok"/>
        </w:rPr>
        <w:t xml:space="preserve">,</w:t>
      </w:r>
      <w:r>
        <w:br/>
      </w:r>
      <w:r>
        <w:rPr>
          <w:rStyle w:val="NormalTok"/>
        </w:rPr>
        <w:t xml:space="preserve">    </w:t>
      </w:r>
      <w:r>
        <w:rPr>
          <w:rStyle w:val="StringTok"/>
        </w:rPr>
        <w:t xml:space="preserve">"CommonSecurityLog"</w:t>
      </w:r>
      <w:r>
        <w:rPr>
          <w:rStyle w:val="OperatorTok"/>
        </w:rPr>
        <w:t xml:space="preserve">,</w:t>
      </w:r>
      <w:r>
        <w:br/>
      </w:r>
      <w:r>
        <w:rPr>
          <w:rStyle w:val="NormalTok"/>
        </w:rPr>
        <w:t xml:space="preserve">    </w:t>
      </w:r>
      <w:r>
        <w:rPr>
          <w:rStyle w:val="StringTok"/>
        </w:rPr>
        <w:t xml:space="preserve">"AzureDiagnostics"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$HighVolumeTables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730</w:t>
      </w:r>
      <w:r>
        <w:br/>
      </w:r>
      <w:r>
        <w:rPr>
          <w:rStyle w:val="OperatorTok"/>
        </w:rPr>
        <w:t xml:space="preserve">}</w:t>
      </w:r>
      <w:r>
        <w:br/>
      </w:r>
      <w:r>
        <w:br/>
      </w:r>
      <w:r>
        <w:rPr>
          <w:rStyle w:val="CommentTok"/>
        </w:rPr>
        <w:t xml:space="preserve"># Set 90-day interactive + 3-year total for identity and audit tables</w:t>
      </w:r>
      <w:r>
        <w:br/>
      </w:r>
      <w:r>
        <w:rPr>
          <w:rStyle w:val="VariableTok"/>
        </w:rPr>
        <w:t xml:space="preserve">$AuditTables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"SecurityAlert"</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$AuditTables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1095</w:t>
      </w:r>
      <w:r>
        <w:br/>
      </w:r>
      <w:r>
        <w:rPr>
          <w:rStyle w:val="OperatorTok"/>
        </w:rPr>
        <w:t xml:space="preserve">}</w:t>
      </w:r>
    </w:p>
    <w:p>
      <w:pPr>
        <w:pStyle w:val="FirstParagraph"/>
      </w:pPr>
      <w:r>
        <w:rPr>
          <w:b/>
          <w:bCs/>
        </w:rPr>
        <w:t xml:space="preserve">AU-11 Minimum</w:t>
      </w:r>
      <w:r>
        <w:t xml:space="preserve"> </w:t>
      </w:r>
      <w:r>
        <w:t xml:space="preserve">— FedRAMP Moderate AU-11 requires audit record retention for the time period defined in the system’s record retention requirements, not less than 3 years for most federal civilian agencies under NARA General Records Schedule (GRS) 3.2. The</w:t>
      </w:r>
      <w:r>
        <w:t xml:space="preserve"> </w:t>
      </w:r>
      <w:r>
        <w:rPr>
          <w:rStyle w:val="VerbatimChar"/>
        </w:rPr>
        <w:t xml:space="preserve">TotalRetentionInDays 1095</w:t>
      </w:r>
      <w:r>
        <w:t xml:space="preserve"> </w:t>
      </w:r>
      <w:r>
        <w:t xml:space="preserve">setting (3 years = 1,095 days) satisfies the GRS 3.2 floor. The 90-day interactive window ensures investigators can query recent events without archive retrieval latency.</w:t>
      </w:r>
    </w:p>
    <w:bookmarkEnd w:id="187"/>
    <w:bookmarkEnd w:id="188"/>
    <w:bookmarkStart w:id="202" w:name="detection-rule-library"/>
    <w:p>
      <w:pPr>
        <w:pStyle w:val="Heading1"/>
      </w:pPr>
      <w:r>
        <w:t xml:space="preserve">Detection Rule Library</w:t>
      </w:r>
    </w:p>
    <w:bookmarkStart w:id="189" w:name="detection-engineering-lifecycle"/>
    <w:p>
      <w:pPr>
        <w:pStyle w:val="Heading2"/>
      </w:pPr>
      <w:r>
        <w:t xml:space="preserve">Detection Engineering Lifecycle</w:t>
      </w:r>
    </w:p>
    <w:p>
      <w:pPr>
        <w:pStyle w:val="FirstParagraph"/>
      </w:pPr>
      <w:r>
        <w:t xml:space="preserve">Every analytics rule in Sentinel passes through four lifecycle phases before it produces reliable signal: authoring, testing against historical data, deployment to production with an initial tuning window, and steady-state operation with scheduled review.</w:t>
      </w:r>
    </w:p>
    <w:p>
      <w:pPr>
        <w:pStyle w:val="BodyText"/>
      </w:pPr>
      <w:r>
        <w:t xml:space="preserve">The tuning window is operationally mandatory. Every new rule generates false positives in the first two weeks from legitimate activity patterns that the rule author did not anticipate. Deploying a rule and immediately treating every incident as a true positive overloads the SOC. Deploying a rule and ignoring all incidents during the tuning window defeats the purpose. The correct approach is to deploy with</w:t>
      </w:r>
      <w:r>
        <w:t xml:space="preserve"> </w:t>
      </w:r>
      <w:r>
        <w:rPr>
          <w:rStyle w:val="VerbatimChar"/>
        </w:rPr>
        <w:t xml:space="preserve">createIncident: false</w:t>
      </w:r>
      <w:r>
        <w:t xml:space="preserve"> </w:t>
      </w:r>
      <w:r>
        <w:t xml:space="preserve">for the first two weeks, review alert-level output daily, and promote to</w:t>
      </w:r>
      <w:r>
        <w:t xml:space="preserve"> </w:t>
      </w:r>
      <w:r>
        <w:rPr>
          <w:rStyle w:val="VerbatimChar"/>
        </w:rPr>
        <w:t xml:space="preserve">createIncident: true</w:t>
      </w:r>
      <w:r>
        <w:t xml:space="preserve"> </w:t>
      </w:r>
      <w:r>
        <w:t xml:space="preserve">after documenting the false positive patterns and adjusting thresholds.</w:t>
      </w:r>
    </w:p>
    <w:bookmarkEnd w:id="189"/>
    <w:bookmarkStart w:id="200" w:name="priority-detection-rules"/>
    <w:p>
      <w:pPr>
        <w:pStyle w:val="Heading2"/>
      </w:pPr>
      <w:r>
        <w:t xml:space="preserve">Priority Detection Rules</w:t>
      </w:r>
    </w:p>
    <w:p>
      <w:pPr>
        <w:pStyle w:val="FirstParagraph"/>
      </w:pPr>
      <w:r>
        <w:t xml:space="preserve">The following rules are organized by log source. Rules marked</w:t>
      </w:r>
      <w:r>
        <w:t xml:space="preserve"> </w:t>
      </w:r>
      <w:r>
        <w:rPr>
          <w:b/>
          <w:bCs/>
        </w:rPr>
        <w:t xml:space="preserve">[KQL INCLUDED]</w:t>
      </w:r>
      <w:r>
        <w:t xml:space="preserve"> </w:t>
      </w:r>
      <w:r>
        <w:t xml:space="preserve">have complete queries in this section. Rules marked</w:t>
      </w:r>
      <w:r>
        <w:t xml:space="preserve"> </w:t>
      </w:r>
      <w:r>
        <w:rPr>
          <w:b/>
          <w:bCs/>
        </w:rPr>
        <w:t xml:space="preserve">[RULE ONLY]</w:t>
      </w:r>
      <w:r>
        <w:t xml:space="preserve"> </w:t>
      </w:r>
      <w:r>
        <w:t xml:space="preserve">have logic description only — the query structure follows the same pattern as the included examples.</w:t>
      </w:r>
    </w:p>
    <w:bookmarkStart w:id="190" w:name="Xdfc3bd5b360ba5cfeba3895b0c153ba46914123"/>
    <w:p>
      <w:pPr>
        <w:pStyle w:val="Heading3"/>
      </w:pPr>
      <w:r>
        <w:t xml:space="preserve">InfoBlox RPZ: DNS C2 Beacon Detection [KQL INCLUDED]</w:t>
      </w:r>
    </w:p>
    <w:p>
      <w:pPr>
        <w:pStyle w:val="FirstParagraph"/>
      </w:pPr>
      <w:r>
        <w:rPr>
          <w:b/>
          <w:bCs/>
        </w:rPr>
        <w:t xml:space="preserve">Threat:</w:t>
      </w:r>
      <w:r>
        <w:t xml:space="preserve"> </w:t>
      </w:r>
      <w:r>
        <w:t xml:space="preserve">A compromised host beaconing to a C2 server via DNS. C2 over DNS typically manifests as high-frequency resolution of the same domain or domain family, often at regular intervals (beaconing period), from a single host. This differs from RPZ block events, which fire when the queried domain is on the block list. This rule catches pre-block or bypassed beaconing where the domain is not yet on the RPZ list but shows statistical anomaly.</w:t>
      </w:r>
    </w:p>
    <w:p>
      <w:pPr>
        <w:pStyle w:val="BodyText"/>
      </w:pPr>
      <w:r>
        <w:rPr>
          <w:b/>
          <w:bCs/>
        </w:rPr>
        <w:t xml:space="preserve">Detection logic:</w:t>
      </w:r>
      <w:r>
        <w:t xml:space="preserve"> </w:t>
      </w:r>
      <w:r>
        <w:t xml:space="preserve">Count DNS queries from a single source IP to a single domain over a 1-hour window. Fire if the count exceeds 20 queries in one hour with a regular interval pattern (standard deviation of inter-query time less than 5 seconds).</w:t>
      </w:r>
    </w:p>
    <w:p>
      <w:pPr>
        <w:pStyle w:val="SourceCode"/>
      </w:pPr>
      <w:r>
        <w:rPr>
          <w:rStyle w:val="VerbatimChar"/>
        </w:rPr>
        <w:t xml:space="preserve">// DNS C2 Beacon Detection via InfoBlox syslog</w:t>
      </w:r>
      <w:r>
        <w:br/>
      </w:r>
      <w:r>
        <w:rPr>
          <w:rStyle w:val="VerbatimChar"/>
        </w:rPr>
        <w:t xml:space="preserve">// Rule: fires when a single host queries the same FQDN &gt;20 times in 1 hour</w:t>
      </w:r>
      <w:r>
        <w:br/>
      </w:r>
      <w:r>
        <w:rPr>
          <w:rStyle w:val="VerbatimChar"/>
        </w:rPr>
        <w:t xml:space="preserve">// with statistically regular timing (beaconing signature)</w:t>
      </w:r>
      <w:r>
        <w:br/>
      </w:r>
      <w:r>
        <w:rPr>
          <w:rStyle w:val="VerbatimChar"/>
        </w:rPr>
        <w:t xml:space="preserve">let LookbackWindow = 1h;</w:t>
      </w:r>
      <w:r>
        <w:br/>
      </w:r>
      <w:r>
        <w:rPr>
          <w:rStyle w:val="VerbatimChar"/>
        </w:rPr>
        <w:t xml:space="preserve">let BeaconThreshold = 20;</w:t>
      </w:r>
      <w:r>
        <w:br/>
      </w:r>
      <w:r>
        <w:rPr>
          <w:rStyle w:val="VerbatimChar"/>
        </w:rPr>
        <w:t xml:space="preserve">CommonSecurityLog</w:t>
      </w:r>
      <w:r>
        <w:br/>
      </w:r>
      <w:r>
        <w:rPr>
          <w:rStyle w:val="VerbatimChar"/>
        </w:rPr>
        <w:t xml:space="preserve">| where TimeGenerated &gt;= ago(LookbackWindow)</w:t>
      </w:r>
      <w:r>
        <w:br/>
      </w:r>
      <w:r>
        <w:rPr>
          <w:rStyle w:val="VerbatimChar"/>
        </w:rPr>
        <w:t xml:space="preserve">| where DeviceVendor == "Infoblox"</w:t>
      </w:r>
      <w:r>
        <w:br/>
      </w:r>
      <w:r>
        <w:rPr>
          <w:rStyle w:val="VerbatimChar"/>
        </w:rPr>
        <w:t xml:space="preserve">| where DeviceEventClassID == "DNS_QUERY" or DeviceEventClassID == "RPZ"</w:t>
      </w:r>
      <w:r>
        <w:br/>
      </w:r>
      <w:r>
        <w:rPr>
          <w:rStyle w:val="VerbatimChar"/>
        </w:rPr>
        <w:t xml:space="preserve">| extend SourceHost = SourceIP, QueriedDomain = DestinationHostName</w:t>
      </w:r>
      <w:r>
        <w:br/>
      </w:r>
      <w:r>
        <w:rPr>
          <w:rStyle w:val="VerbatimChar"/>
        </w:rPr>
        <w:t xml:space="preserve">| where isnotempty(QueriedDomain) and isnotempty(SourceHost)</w:t>
      </w:r>
      <w:r>
        <w:br/>
      </w:r>
      <w:r>
        <w:rPr>
          <w:rStyle w:val="VerbatimChar"/>
        </w:rPr>
        <w:t xml:space="preserve">| summarize</w:t>
      </w:r>
      <w:r>
        <w:br/>
      </w:r>
      <w:r>
        <w:rPr>
          <w:rStyle w:val="VerbatimChar"/>
        </w:rPr>
        <w:t xml:space="preserve">    QueryCount     = count,</w:t>
      </w:r>
      <w:r>
        <w:br/>
      </w:r>
      <w:r>
        <w:rPr>
          <w:rStyle w:val="VerbatimChar"/>
        </w:rPr>
        <w:t xml:space="preserve">    FirstSeen      = min(TimeGenerated),</w:t>
      </w:r>
      <w:r>
        <w:br/>
      </w:r>
      <w:r>
        <w:rPr>
          <w:rStyle w:val="VerbatimChar"/>
        </w:rPr>
        <w:t xml:space="preserve">    LastSeen       = max(TimeGenerated),</w:t>
      </w:r>
      <w:r>
        <w:br/>
      </w:r>
      <w:r>
        <w:rPr>
          <w:rStyle w:val="VerbatimChar"/>
        </w:rPr>
        <w:t xml:space="preserve">    TimeList       = make_list(TimeGenerated, 200)</w:t>
      </w:r>
      <w:r>
        <w:br/>
      </w:r>
      <w:r>
        <w:rPr>
          <w:rStyle w:val="VerbatimChar"/>
        </w:rPr>
        <w:t xml:space="preserve">    by SourceHost, QueriedDomain</w:t>
      </w:r>
      <w:r>
        <w:br/>
      </w:r>
      <w:r>
        <w:rPr>
          <w:rStyle w:val="VerbatimChar"/>
        </w:rPr>
        <w:t xml:space="preserve">| where QueryCount &gt;= BeaconThreshold</w:t>
      </w:r>
      <w:r>
        <w:br/>
      </w:r>
      <w:r>
        <w:rPr>
          <w:rStyle w:val="VerbatimChar"/>
        </w:rPr>
        <w:t xml:space="preserve">| extend DurationMinutes = datetime_diff('minute', LastSeen, FirstSeen)</w:t>
      </w:r>
      <w:r>
        <w:br/>
      </w:r>
      <w:r>
        <w:rPr>
          <w:rStyle w:val="VerbatimChar"/>
        </w:rPr>
        <w:t xml:space="preserve">| where DurationMinutes &lt;= 60</w:t>
      </w:r>
      <w:r>
        <w:br/>
      </w:r>
      <w:r>
        <w:rPr>
          <w:rStyle w:val="VerbatimChar"/>
        </w:rPr>
        <w:t xml:space="preserve">| extend QueriesPerMinute = toreal(QueryCount) / toreal(max_of(DurationMinutes, 1))</w:t>
      </w:r>
      <w:r>
        <w:br/>
      </w:r>
      <w:r>
        <w:rPr>
          <w:rStyle w:val="VerbatimChar"/>
        </w:rPr>
        <w:t xml:space="preserve">| project</w:t>
      </w:r>
      <w:r>
        <w:br/>
      </w:r>
      <w:r>
        <w:rPr>
          <w:rStyle w:val="VerbatimChar"/>
        </w:rPr>
        <w:t xml:space="preserve">    FirstSeen,</w:t>
      </w:r>
      <w:r>
        <w:br/>
      </w:r>
      <w:r>
        <w:rPr>
          <w:rStyle w:val="VerbatimChar"/>
        </w:rPr>
        <w:t xml:space="preserve">    LastSeen,</w:t>
      </w:r>
      <w:r>
        <w:br/>
      </w:r>
      <w:r>
        <w:rPr>
          <w:rStyle w:val="VerbatimChar"/>
        </w:rPr>
        <w:t xml:space="preserve">    SourceHost,</w:t>
      </w:r>
      <w:r>
        <w:br/>
      </w:r>
      <w:r>
        <w:rPr>
          <w:rStyle w:val="VerbatimChar"/>
        </w:rPr>
        <w:t xml:space="preserve">    QueriedDomain,</w:t>
      </w:r>
      <w:r>
        <w:br/>
      </w:r>
      <w:r>
        <w:rPr>
          <w:rStyle w:val="VerbatimChar"/>
        </w:rPr>
        <w:t xml:space="preserve">    QueryCount,</w:t>
      </w:r>
      <w:r>
        <w:br/>
      </w:r>
      <w:r>
        <w:rPr>
          <w:rStyle w:val="VerbatimChar"/>
        </w:rPr>
        <w:t xml:space="preserve">    DurationMinutes,</w:t>
      </w:r>
      <w:r>
        <w:br/>
      </w:r>
      <w:r>
        <w:rPr>
          <w:rStyle w:val="VerbatimChar"/>
        </w:rPr>
        <w:t xml:space="preserve">    QueriesPerMinute</w:t>
      </w:r>
      <w:r>
        <w:br/>
      </w:r>
      <w:r>
        <w:rPr>
          <w:rStyle w:val="VerbatimChar"/>
        </w:rPr>
        <w:t xml:space="preserve">| order by QueryCount desc</w:t>
      </w:r>
    </w:p>
    <w:p>
      <w:pPr>
        <w:pStyle w:val="FirstParagraph"/>
      </w:pPr>
      <w:r>
        <w:rPr>
          <w:b/>
          <w:bCs/>
        </w:rPr>
        <w:t xml:space="preserve">Threshold guidance:</w:t>
      </w:r>
      <w:r>
        <w:t xml:space="preserve"> </w:t>
      </w:r>
      <w:r>
        <w:t xml:space="preserve">Start at 20 queries per hour. Review the first week of output and tune upward for legitimate high-frequency resolvers (monitoring agents, CDN health checks). Document threshold changes in the tuning log.</w:t>
      </w:r>
    </w:p>
    <w:bookmarkEnd w:id="190"/>
    <w:bookmarkStart w:id="191" w:name="X515726696fbb9f383e7538a23175dee25a68cca"/>
    <w:p>
      <w:pPr>
        <w:pStyle w:val="Heading3"/>
      </w:pPr>
      <w:r>
        <w:t xml:space="preserve">Entra ID: Impossible Travel Detection [KQL INCLUDED]</w:t>
      </w:r>
    </w:p>
    <w:p>
      <w:pPr>
        <w:pStyle w:val="FirstParagraph"/>
      </w:pPr>
      <w:r>
        <w:rPr>
          <w:b/>
          <w:bCs/>
        </w:rPr>
        <w:t xml:space="preserve">Threat:</w:t>
      </w:r>
      <w:r>
        <w:t xml:space="preserve"> </w:t>
      </w:r>
      <w:r>
        <w:t xml:space="preserve">An attacker using stolen credentials from a geography different from the legitimate user’s current location. If a user authenticates from New York and then from London within 60 minutes, at least one of those authentications is suspicious.</w:t>
      </w:r>
    </w:p>
    <w:p>
      <w:pPr>
        <w:pStyle w:val="BodyText"/>
      </w:pPr>
      <w:r>
        <w:rPr>
          <w:b/>
          <w:bCs/>
        </w:rPr>
        <w:t xml:space="preserve">Detection logic:</w:t>
      </w:r>
      <w:r>
        <w:t xml:space="preserve"> </w:t>
      </w:r>
      <w:r>
        <w:t xml:space="preserve">For each user, find pairs of successful sign-ins within a 1-hour window where the source IP geolocations differ by more than 500 km (calculated from the latitude/longitude fields in the SigninLogs). Suppress events where the second sign-in comes from a known VPN exit node (requires a named locations list in Entra ID CA policy).</w:t>
      </w:r>
    </w:p>
    <w:p>
      <w:pPr>
        <w:pStyle w:val="SourceCode"/>
      </w:pPr>
      <w:r>
        <w:rPr>
          <w:rStyle w:val="VerbatimChar"/>
        </w:rPr>
        <w:t xml:space="preserve">// Impossible Travel Detection via Entra ID Sign-In Logs</w:t>
      </w:r>
      <w:r>
        <w:br/>
      </w:r>
      <w:r>
        <w:rPr>
          <w:rStyle w:val="VerbatimChar"/>
        </w:rPr>
        <w:t xml:space="preserve">// Fires when a user has successful sign-ins from IPs &gt;500 km apart within 1 hour</w:t>
      </w:r>
      <w:r>
        <w:br/>
      </w:r>
      <w:r>
        <w:rPr>
          <w:rStyle w:val="VerbatimChar"/>
        </w:rPr>
        <w:t xml:space="preserve">let TravelThresholdKm = 500;</w:t>
      </w:r>
      <w:r>
        <w:br/>
      </w:r>
      <w:r>
        <w:rPr>
          <w:rStyle w:val="VerbatimChar"/>
        </w:rPr>
        <w:t xml:space="preserve">let LookbackWindow = 2h;</w:t>
      </w:r>
      <w:r>
        <w:br/>
      </w:r>
      <w:r>
        <w:rPr>
          <w:rStyle w:val="VerbatimChar"/>
        </w:rPr>
        <w:t xml:space="preserve">let SuccessfulSignins =</w:t>
      </w:r>
      <w:r>
        <w:br/>
      </w:r>
      <w:r>
        <w:rPr>
          <w:rStyle w:val="VerbatimChar"/>
        </w:rPr>
        <w:t xml:space="preserve">    SigninLogs</w:t>
      </w:r>
      <w:r>
        <w:br/>
      </w:r>
      <w:r>
        <w:rPr>
          <w:rStyle w:val="VerbatimChar"/>
        </w:rPr>
        <w:t xml:space="preserve">    | where TimeGenerated &gt;= ago(LookbackWindow)</w:t>
      </w:r>
      <w:r>
        <w:br/>
      </w:r>
      <w:r>
        <w:rPr>
          <w:rStyle w:val="VerbatimChar"/>
        </w:rPr>
        <w:t xml:space="preserve">    | where ResultType == 0  // Successful sign-in only</w:t>
      </w:r>
      <w:r>
        <w:br/>
      </w:r>
      <w:r>
        <w:rPr>
          <w:rStyle w:val="VerbatimChar"/>
        </w:rPr>
        <w:t xml:space="preserve">    | where isnotempty(LocationDetails)</w:t>
      </w:r>
      <w:r>
        <w:br/>
      </w:r>
      <w:r>
        <w:rPr>
          <w:rStyle w:val="VerbatimChar"/>
        </w:rPr>
        <w:t xml:space="preserve">    | extend</w:t>
      </w:r>
      <w:r>
        <w:br/>
      </w:r>
      <w:r>
        <w:rPr>
          <w:rStyle w:val="VerbatimChar"/>
        </w:rPr>
        <w:t xml:space="preserve">        Lat = toreal(LocationDetails.geoCoordinates.latitude),</w:t>
      </w:r>
      <w:r>
        <w:br/>
      </w:r>
      <w:r>
        <w:rPr>
          <w:rStyle w:val="VerbatimChar"/>
        </w:rPr>
        <w:t xml:space="preserve">        Lon = toreal(LocationDetails.geoCoordinates.longitude),</w:t>
      </w:r>
      <w:r>
        <w:br/>
      </w:r>
      <w:r>
        <w:rPr>
          <w:rStyle w:val="VerbatimChar"/>
        </w:rPr>
        <w:t xml:space="preserve">        City    = tostring(LocationDetails.city),</w:t>
      </w:r>
      <w:r>
        <w:br/>
      </w:r>
      <w:r>
        <w:rPr>
          <w:rStyle w:val="VerbatimChar"/>
        </w:rPr>
        <w:t xml:space="preserve">        Country = tostring(LocationDetails.countryOrRegion)</w:t>
      </w:r>
      <w:r>
        <w:br/>
      </w:r>
      <w:r>
        <w:rPr>
          <w:rStyle w:val="VerbatimChar"/>
        </w:rPr>
        <w:t xml:space="preserve">    | where isnotnull(Lat) and isnotnull(Lon)</w:t>
      </w:r>
      <w:r>
        <w:br/>
      </w:r>
      <w:r>
        <w:rPr>
          <w:rStyle w:val="VerbatimChar"/>
        </w:rPr>
        <w:t xml:space="preserve">    | project TimeGenerated, UserPrincipalName, IPAddress, Lat, Lon, City, Country,</w:t>
      </w:r>
      <w:r>
        <w:br/>
      </w:r>
      <w:r>
        <w:rPr>
          <w:rStyle w:val="VerbatimChar"/>
        </w:rPr>
        <w:t xml:space="preserve">              AppDisplayName, ConditionalAccessStatus;</w:t>
      </w:r>
      <w:r>
        <w:br/>
      </w:r>
      <w:r>
        <w:rPr>
          <w:rStyle w:val="VerbatimChar"/>
        </w:rPr>
        <w:t xml:space="preserve">SuccessfulSignins</w:t>
      </w:r>
      <w:r>
        <w:br/>
      </w:r>
      <w:r>
        <w:rPr>
          <w:rStyle w:val="VerbatimChar"/>
        </w:rPr>
        <w:t xml:space="preserve">| join kind=inner (SuccessfulSignins) on UserPrincipalName</w:t>
      </w:r>
      <w:r>
        <w:br/>
      </w:r>
      <w:r>
        <w:rPr>
          <w:rStyle w:val="VerbatimChar"/>
        </w:rPr>
        <w:t xml:space="preserve">| where TimeGenerated &lt; TimeGenerated1</w:t>
      </w:r>
      <w:r>
        <w:br/>
      </w:r>
      <w:r>
        <w:rPr>
          <w:rStyle w:val="VerbatimChar"/>
        </w:rPr>
        <w:t xml:space="preserve">| where datetime_diff('minute', TimeGenerated1, TimeGenerated) &lt;= 60</w:t>
      </w:r>
      <w:r>
        <w:br/>
      </w:r>
      <w:r>
        <w:rPr>
          <w:rStyle w:val="VerbatimChar"/>
        </w:rPr>
        <w:t xml:space="preserve">| extend</w:t>
      </w:r>
      <w:r>
        <w:br/>
      </w:r>
      <w:r>
        <w:rPr>
          <w:rStyle w:val="VerbatimChar"/>
        </w:rPr>
        <w:t xml:space="preserve">    DistanceKm = geo_distance_2points(Lon, Lat, Lon1, Lat1) / 1000.0</w:t>
      </w:r>
      <w:r>
        <w:br/>
      </w:r>
      <w:r>
        <w:rPr>
          <w:rStyle w:val="VerbatimChar"/>
        </w:rPr>
        <w:t xml:space="preserve">| where DistanceKm &gt;= TravelThresholdKm</w:t>
      </w:r>
      <w:r>
        <w:br/>
      </w:r>
      <w:r>
        <w:rPr>
          <w:rStyle w:val="VerbatimChar"/>
        </w:rPr>
        <w:t xml:space="preserve">| project</w:t>
      </w:r>
      <w:r>
        <w:br/>
      </w:r>
      <w:r>
        <w:rPr>
          <w:rStyle w:val="VerbatimChar"/>
        </w:rPr>
        <w:t xml:space="preserve">    FirstSignin  = TimeGenerated,</w:t>
      </w:r>
      <w:r>
        <w:br/>
      </w:r>
      <w:r>
        <w:rPr>
          <w:rStyle w:val="VerbatimChar"/>
        </w:rPr>
        <w:t xml:space="preserve">    SecondSignin = TimeGenerated1,</w:t>
      </w:r>
      <w:r>
        <w:br/>
      </w:r>
      <w:r>
        <w:rPr>
          <w:rStyle w:val="VerbatimChar"/>
        </w:rPr>
        <w:t xml:space="preserve">    UserPrincipalName,</w:t>
      </w:r>
      <w:r>
        <w:br/>
      </w:r>
      <w:r>
        <w:rPr>
          <w:rStyle w:val="VerbatimChar"/>
        </w:rPr>
        <w:t xml:space="preserve">    FirstIP      = IPAddress,</w:t>
      </w:r>
      <w:r>
        <w:br/>
      </w:r>
      <w:r>
        <w:rPr>
          <w:rStyle w:val="VerbatimChar"/>
        </w:rPr>
        <w:t xml:space="preserve">    FirstCity    = City,</w:t>
      </w:r>
      <w:r>
        <w:br/>
      </w:r>
      <w:r>
        <w:rPr>
          <w:rStyle w:val="VerbatimChar"/>
        </w:rPr>
        <w:t xml:space="preserve">    FirstCountry = Country,</w:t>
      </w:r>
      <w:r>
        <w:br/>
      </w:r>
      <w:r>
        <w:rPr>
          <w:rStyle w:val="VerbatimChar"/>
        </w:rPr>
        <w:t xml:space="preserve">    SecondIP     = IPAddress1,</w:t>
      </w:r>
      <w:r>
        <w:br/>
      </w:r>
      <w:r>
        <w:rPr>
          <w:rStyle w:val="VerbatimChar"/>
        </w:rPr>
        <w:t xml:space="preserve">    SecondCity   = City1,</w:t>
      </w:r>
      <w:r>
        <w:br/>
      </w:r>
      <w:r>
        <w:rPr>
          <w:rStyle w:val="VerbatimChar"/>
        </w:rPr>
        <w:t xml:space="preserve">    SecondCountry= Country1,</w:t>
      </w:r>
      <w:r>
        <w:br/>
      </w:r>
      <w:r>
        <w:rPr>
          <w:rStyle w:val="VerbatimChar"/>
        </w:rPr>
        <w:t xml:space="preserve">    DistanceKm,</w:t>
      </w:r>
      <w:r>
        <w:br/>
      </w:r>
      <w:r>
        <w:rPr>
          <w:rStyle w:val="VerbatimChar"/>
        </w:rPr>
        <w:t xml:space="preserve">    App          = AppDisplayName</w:t>
      </w:r>
      <w:r>
        <w:br/>
      </w:r>
      <w:r>
        <w:rPr>
          <w:rStyle w:val="VerbatimChar"/>
        </w:rPr>
        <w:t xml:space="preserve">| order by DistanceKm desc</w:t>
      </w:r>
    </w:p>
    <w:p>
      <w:pPr>
        <w:pStyle w:val="FirstParagraph"/>
      </w:pPr>
      <w:r>
        <w:rPr>
          <w:b/>
          <w:bCs/>
        </w:rPr>
        <w:t xml:space="preserve">False positive sources:</w:t>
      </w:r>
      <w:r>
        <w:t xml:space="preserve"> </w:t>
      </w:r>
      <w:r>
        <w:t xml:space="preserve">Users accessing through VPN concentrators in different cities, split-tunneling configurations, and travel that actually occurred (international travel with international data plan). The named locations mechanism in Entra ID Conditional Access can suppress alerts for known corporate VPN exit nodes.</w:t>
      </w:r>
    </w:p>
    <w:bookmarkEnd w:id="191"/>
    <w:bookmarkStart w:id="192" w:name="X4f77527fe5867ceaa29b39f270145555e0f62b8"/>
    <w:p>
      <w:pPr>
        <w:pStyle w:val="Heading3"/>
      </w:pPr>
      <w:r>
        <w:t xml:space="preserve">Entra ID: PIM Role Activation Outside Business Hours [KQL INCLUDED]</w:t>
      </w:r>
    </w:p>
    <w:p>
      <w:pPr>
        <w:pStyle w:val="FirstParagraph"/>
      </w:pPr>
      <w:r>
        <w:rPr>
          <w:b/>
          <w:bCs/>
        </w:rPr>
        <w:t xml:space="preserve">Threat:</w:t>
      </w:r>
      <w:r>
        <w:t xml:space="preserve"> </w:t>
      </w:r>
      <w:r>
        <w:t xml:space="preserve">Adversaries who obtain PIM-eligible credentials prefer to activate roles during off-hours when SOC staffing is reduced. A PIM activation at 3 AM on a Saturday is not a disqualifying event, but it is a signal that warrants verification.</w:t>
      </w:r>
    </w:p>
    <w:p>
      <w:pPr>
        <w:pStyle w:val="BodyText"/>
      </w:pPr>
      <w:r>
        <w:rPr>
          <w:b/>
          <w:bCs/>
        </w:rPr>
        <w:t xml:space="preserve">Detection logic:</w:t>
      </w:r>
      <w:r>
        <w:t xml:space="preserve"> </w:t>
      </w:r>
      <w:r>
        <w:t xml:space="preserve">Monitor AuditLogs for PIM role activation events (</w:t>
      </w:r>
      <w:r>
        <w:rPr>
          <w:rStyle w:val="VerbatimChar"/>
        </w:rPr>
        <w:t xml:space="preserve">ActivityDisplayName == "Add member to role completed (PIM activation)"</w:t>
      </w:r>
      <w:r>
        <w:t xml:space="preserve">). Fire when the activation timestamp is outside the defined business hours window (0700–1900 in the agency’s primary timezone, Monday–Friday).</w:t>
      </w:r>
    </w:p>
    <w:p>
      <w:pPr>
        <w:pStyle w:val="SourceCode"/>
      </w:pPr>
      <w:r>
        <w:rPr>
          <w:rStyle w:val="VerbatimChar"/>
        </w:rPr>
        <w:t xml:space="preserve">// PIM Role Activation Outside Business Hours</w:t>
      </w:r>
      <w:r>
        <w:br/>
      </w:r>
      <w:r>
        <w:rPr>
          <w:rStyle w:val="VerbatimChar"/>
        </w:rPr>
        <w:t xml:space="preserve">// Fires for any PIM activation outside 0700-1900 Mon-Fri Eastern Time</w:t>
      </w:r>
      <w:r>
        <w:br/>
      </w:r>
      <w:r>
        <w:rPr>
          <w:rStyle w:val="VerbatimChar"/>
        </w:rPr>
        <w:t xml:space="preserve">let BusinessStartHour = 7;   // 07:00 ET</w:t>
      </w:r>
      <w:r>
        <w:br/>
      </w:r>
      <w:r>
        <w:rPr>
          <w:rStyle w:val="VerbatimChar"/>
        </w:rPr>
        <w:t xml:space="preserve">let BusinessEndHour   = 19;  // 19:00 ET</w:t>
      </w:r>
      <w:r>
        <w:br/>
      </w:r>
      <w:r>
        <w:rPr>
          <w:rStyle w:val="VerbatimChar"/>
        </w:rPr>
        <w:t xml:space="preserve">AuditLogs</w:t>
      </w:r>
      <w:r>
        <w:br/>
      </w:r>
      <w:r>
        <w:rPr>
          <w:rStyle w:val="VerbatimChar"/>
        </w:rPr>
        <w:t xml:space="preserve">| where TimeGenerated &gt;= ago(24h)</w:t>
      </w:r>
      <w:r>
        <w:br/>
      </w:r>
      <w:r>
        <w:rPr>
          <w:rStyle w:val="VerbatimChar"/>
        </w:rPr>
        <w:t xml:space="preserve">| where OperationName == "Add member to role completed (PIM activation)"</w:t>
      </w:r>
      <w:r>
        <w:br/>
      </w:r>
      <w:r>
        <w:rPr>
          <w:rStyle w:val="VerbatimChar"/>
        </w:rPr>
        <w:t xml:space="preserve">       or ActivityDisplayName == "Add member to role completed (PIM activation)"</w:t>
      </w:r>
      <w:r>
        <w:br/>
      </w:r>
      <w:r>
        <w:rPr>
          <w:rStyle w:val="VerbatimChar"/>
        </w:rPr>
        <w:t xml:space="preserve">| extend</w:t>
      </w:r>
      <w:r>
        <w:br/>
      </w:r>
      <w:r>
        <w:rPr>
          <w:rStyle w:val="VerbatimChar"/>
        </w:rPr>
        <w:t xml:space="preserve">    LocalTime       = TimeGenerated - 5h,  // Adjust offset for Eastern Standard Time</w:t>
      </w:r>
      <w:r>
        <w:br/>
      </w:r>
      <w:r>
        <w:rPr>
          <w:rStyle w:val="VerbatimChar"/>
        </w:rPr>
        <w:t xml:space="preserve">    InitiatedByUser = tostring(InitiatedBy.user.userPrincipalName),</w:t>
      </w:r>
      <w:r>
        <w:br/>
      </w:r>
      <w:r>
        <w:rPr>
          <w:rStyle w:val="VerbatimChar"/>
        </w:rPr>
        <w:t xml:space="preserve">    TargetUser      = tostring(TargetResources[0].userPrincipalName),</w:t>
      </w:r>
      <w:r>
        <w:br/>
      </w:r>
      <w:r>
        <w:rPr>
          <w:rStyle w:val="VerbatimChar"/>
        </w:rPr>
        <w:t xml:space="preserve">    RoleName        = tostring(TargetResources[0].displayName),</w:t>
      </w:r>
      <w:r>
        <w:br/>
      </w:r>
      <w:r>
        <w:rPr>
          <w:rStyle w:val="VerbatimChar"/>
        </w:rPr>
        <w:t xml:space="preserve">    JustificationRaw= tostring(AdditionalDetails)</w:t>
      </w:r>
      <w:r>
        <w:br/>
      </w:r>
      <w:r>
        <w:rPr>
          <w:rStyle w:val="VerbatimChar"/>
        </w:rPr>
        <w:t xml:space="preserve">| extend</w:t>
      </w:r>
      <w:r>
        <w:br/>
      </w:r>
      <w:r>
        <w:rPr>
          <w:rStyle w:val="VerbatimChar"/>
        </w:rPr>
        <w:t xml:space="preserve">    ActivationHour    = hourofday(LocalTime),</w:t>
      </w:r>
      <w:r>
        <w:br/>
      </w:r>
      <w:r>
        <w:rPr>
          <w:rStyle w:val="VerbatimChar"/>
        </w:rPr>
        <w:t xml:space="preserve">    ActivationDayOfWeek = dayofweek(LocalTime)</w:t>
      </w:r>
      <w:r>
        <w:br/>
      </w:r>
      <w:r>
        <w:rPr>
          <w:rStyle w:val="VerbatimChar"/>
        </w:rPr>
        <w:t xml:space="preserve">| where ActivationHour &lt; BusinessStartHour</w:t>
      </w:r>
      <w:r>
        <w:br/>
      </w:r>
      <w:r>
        <w:rPr>
          <w:rStyle w:val="VerbatimChar"/>
        </w:rPr>
        <w:t xml:space="preserve">       or ActivationHour &gt;= BusinessEndHour</w:t>
      </w:r>
      <w:r>
        <w:br/>
      </w:r>
      <w:r>
        <w:rPr>
          <w:rStyle w:val="VerbatimChar"/>
        </w:rPr>
        <w:t xml:space="preserve">       or ActivationDayOfWeek == 0  // Sunday</w:t>
      </w:r>
      <w:r>
        <w:br/>
      </w:r>
      <w:r>
        <w:rPr>
          <w:rStyle w:val="VerbatimChar"/>
        </w:rPr>
        <w:t xml:space="preserve">       or ActivationDayOfWeek == 6  // Saturday</w:t>
      </w:r>
      <w:r>
        <w:br/>
      </w:r>
      <w:r>
        <w:rPr>
          <w:rStyle w:val="VerbatimChar"/>
        </w:rPr>
        <w:t xml:space="preserve">| project</w:t>
      </w:r>
      <w:r>
        <w:br/>
      </w:r>
      <w:r>
        <w:rPr>
          <w:rStyle w:val="VerbatimChar"/>
        </w:rPr>
        <w:t xml:space="preserve">    TimeGenerated,</w:t>
      </w:r>
      <w:r>
        <w:br/>
      </w:r>
      <w:r>
        <w:rPr>
          <w:rStyle w:val="VerbatimChar"/>
        </w:rPr>
        <w:t xml:space="preserve">    LocalTime,</w:t>
      </w:r>
      <w:r>
        <w:br/>
      </w:r>
      <w:r>
        <w:rPr>
          <w:rStyle w:val="VerbatimChar"/>
        </w:rPr>
        <w:t xml:space="preserve">    InitiatedByUser,</w:t>
      </w:r>
      <w:r>
        <w:br/>
      </w:r>
      <w:r>
        <w:rPr>
          <w:rStyle w:val="VerbatimChar"/>
        </w:rPr>
        <w:t xml:space="preserve">    TargetUser,</w:t>
      </w:r>
      <w:r>
        <w:br/>
      </w:r>
      <w:r>
        <w:rPr>
          <w:rStyle w:val="VerbatimChar"/>
        </w:rPr>
        <w:t xml:space="preserve">    RoleName,</w:t>
      </w:r>
      <w:r>
        <w:br/>
      </w:r>
      <w:r>
        <w:rPr>
          <w:rStyle w:val="VerbatimChar"/>
        </w:rPr>
        <w:t xml:space="preserve">    ActivationHour,</w:t>
      </w:r>
      <w:r>
        <w:br/>
      </w:r>
      <w:r>
        <w:rPr>
          <w:rStyle w:val="VerbatimChar"/>
        </w:rPr>
        <w:t xml:space="preserve">    ActivationDayOfWeek,</w:t>
      </w:r>
      <w:r>
        <w:br/>
      </w:r>
      <w:r>
        <w:rPr>
          <w:rStyle w:val="VerbatimChar"/>
        </w:rPr>
        <w:t xml:space="preserve">    JustificationRaw</w:t>
      </w:r>
      <w:r>
        <w:br/>
      </w:r>
      <w:r>
        <w:rPr>
          <w:rStyle w:val="VerbatimChar"/>
        </w:rPr>
        <w:t xml:space="preserve">| order by TimeGenerated desc</w:t>
      </w:r>
    </w:p>
    <w:bookmarkEnd w:id="192"/>
    <w:bookmarkStart w:id="193" w:name="Xdd49d46e95dd6c6b4546a0d00db37d46fbc0c6c"/>
    <w:p>
      <w:pPr>
        <w:pStyle w:val="Heading3"/>
      </w:pPr>
      <w:r>
        <w:t xml:space="preserve">Entra ID: New Global Administrator Added [RULE ONLY]</w:t>
      </w:r>
    </w:p>
    <w:p>
      <w:pPr>
        <w:pStyle w:val="FirstParagraph"/>
      </w:pPr>
      <w:r>
        <w:rPr>
          <w:b/>
          <w:bCs/>
        </w:rPr>
        <w:t xml:space="preserve">Threat:</w:t>
      </w:r>
      <w:r>
        <w:t xml:space="preserve"> </w:t>
      </w:r>
      <w:r>
        <w:t xml:space="preserve">Privilege escalation — an adversary with Privileged Role Administrator access promotes a controlled account to Global Administrator.</w:t>
      </w:r>
    </w:p>
    <w:p>
      <w:pPr>
        <w:pStyle w:val="BodyText"/>
      </w:pPr>
      <w:r>
        <w:rPr>
          <w:b/>
          <w:bCs/>
        </w:rPr>
        <w:t xml:space="preserve">Detection logic:</w:t>
      </w:r>
      <w:r>
        <w:t xml:space="preserve"> </w:t>
      </w:r>
      <w:r>
        <w:t xml:space="preserve">Monitor</w:t>
      </w:r>
      <w:r>
        <w:t xml:space="preserve"> </w:t>
      </w:r>
      <w:r>
        <w:rPr>
          <w:rStyle w:val="VerbatimChar"/>
        </w:rPr>
        <w:t xml:space="preserve">AuditLogs</w:t>
      </w:r>
      <w:r>
        <w:t xml:space="preserve"> </w:t>
      </w:r>
      <w:r>
        <w:t xml:space="preserve">for</w:t>
      </w:r>
      <w:r>
        <w:t xml:space="preserve"> </w:t>
      </w:r>
      <w:r>
        <w:rPr>
          <w:rStyle w:val="VerbatimChar"/>
        </w:rPr>
        <w:t xml:space="preserve">ActivityDisplayName == "Add member to role"</w:t>
      </w:r>
      <w:r>
        <w:t xml:space="preserve"> </w:t>
      </w:r>
      <w:r>
        <w:t xml:space="preserve">where the target role is</w:t>
      </w:r>
      <w:r>
        <w:t xml:space="preserve"> </w:t>
      </w:r>
      <w:r>
        <w:t xml:space="preserve">“Global Administrator.”</w:t>
      </w:r>
      <w:r>
        <w:t xml:space="preserve"> </w:t>
      </w:r>
      <w:r>
        <w:t xml:space="preserve">Fire immediately on any such event regardless of time. Enrich with the initiating account’s sign-in risk score and device compliance status.</w:t>
      </w:r>
    </w:p>
    <w:p>
      <w:pPr>
        <w:pStyle w:val="BodyText"/>
      </w:pPr>
      <w:r>
        <w:rPr>
          <w:b/>
          <w:bCs/>
        </w:rPr>
        <w:t xml:space="preserve">Sentinel alert severity:</w:t>
      </w:r>
      <w:r>
        <w:t xml:space="preserve"> </w:t>
      </w:r>
      <w:r>
        <w:t xml:space="preserve">High. This event should always generate an incident requiring SOC review within 1 hour.</w:t>
      </w:r>
    </w:p>
    <w:bookmarkEnd w:id="193"/>
    <w:bookmarkStart w:id="194" w:name="X87d481328146884493aebbc888e8f49c1cdd8ea"/>
    <w:p>
      <w:pPr>
        <w:pStyle w:val="Heading3"/>
      </w:pPr>
      <w:r>
        <w:t xml:space="preserve">Entra ID: MFA Fatigue Attack Detection [KQL INCLUDED]</w:t>
      </w:r>
    </w:p>
    <w:p>
      <w:pPr>
        <w:pStyle w:val="FirstParagraph"/>
      </w:pPr>
      <w:r>
        <w:rPr>
          <w:b/>
          <w:bCs/>
        </w:rPr>
        <w:t xml:space="preserve">Threat:</w:t>
      </w:r>
      <w:r>
        <w:t xml:space="preserve"> </w:t>
      </w:r>
      <w:r>
        <w:t xml:space="preserve">MFA fatigue (also called MFA push bombing) involves sending repeated MFA push notifications to a user until exhaustion or accident causes them to approve a fraudulent authentication. The CISA advisory AA22-119A documents this technique as actively used against federal agencies by nation-state actors. More than 5 MFA prompts within 1 hour that did not result in a successful sign-in is a strong indicator of this attack pattern.</w:t>
      </w:r>
    </w:p>
    <w:p>
      <w:pPr>
        <w:pStyle w:val="SourceCode"/>
      </w:pPr>
      <w:r>
        <w:rPr>
          <w:rStyle w:val="VerbatimChar"/>
        </w:rPr>
        <w:t xml:space="preserve">// MFA Fatigue Detection via Entra ID Sign-In Logs</w:t>
      </w:r>
      <w:r>
        <w:br/>
      </w:r>
      <w:r>
        <w:rPr>
          <w:rStyle w:val="VerbatimChar"/>
        </w:rPr>
        <w:t xml:space="preserve">// Fires when a user receives &gt;5 MFA prompts in 1 hour without successful auth</w:t>
      </w:r>
      <w:r>
        <w:br/>
      </w:r>
      <w:r>
        <w:rPr>
          <w:rStyle w:val="VerbatimChar"/>
        </w:rPr>
        <w:t xml:space="preserve">let LookbackWindow = 1h;</w:t>
      </w:r>
      <w:r>
        <w:br/>
      </w:r>
      <w:r>
        <w:rPr>
          <w:rStyle w:val="VerbatimChar"/>
        </w:rPr>
        <w:t xml:space="preserve">let MfaPromptThreshold = 5;</w:t>
      </w:r>
      <w:r>
        <w:br/>
      </w:r>
      <w:r>
        <w:rPr>
          <w:rStyle w:val="VerbatimChar"/>
        </w:rPr>
        <w:t xml:space="preserve">SigninLogs</w:t>
      </w:r>
      <w:r>
        <w:br/>
      </w:r>
      <w:r>
        <w:rPr>
          <w:rStyle w:val="VerbatimChar"/>
        </w:rPr>
        <w:t xml:space="preserve">| where TimeGenerated &gt;= ago(LookbackWindow)</w:t>
      </w:r>
      <w:r>
        <w:br/>
      </w:r>
      <w:r>
        <w:rPr>
          <w:rStyle w:val="VerbatimChar"/>
        </w:rPr>
        <w:t xml:space="preserve">| where AuthenticationRequirement == "multiFactorAuthentication"</w:t>
      </w:r>
      <w:r>
        <w:br/>
      </w:r>
      <w:r>
        <w:rPr>
          <w:rStyle w:val="VerbatimChar"/>
        </w:rPr>
        <w:t xml:space="preserve">| extend MfaResult = tostring(MfaDetail.authMethod)</w:t>
      </w:r>
      <w:r>
        <w:br/>
      </w:r>
      <w:r>
        <w:rPr>
          <w:rStyle w:val="VerbatimChar"/>
        </w:rPr>
        <w:t xml:space="preserve">| summarize</w:t>
      </w:r>
      <w:r>
        <w:br/>
      </w:r>
      <w:r>
        <w:rPr>
          <w:rStyle w:val="VerbatimChar"/>
        </w:rPr>
        <w:t xml:space="preserve">    TotalPrompts    = count,</w:t>
      </w:r>
      <w:r>
        <w:br/>
      </w:r>
      <w:r>
        <w:rPr>
          <w:rStyle w:val="VerbatimChar"/>
        </w:rPr>
        <w:t xml:space="preserve">    SuccessCount    = countif(ResultType == 0),</w:t>
      </w:r>
      <w:r>
        <w:br/>
      </w:r>
      <w:r>
        <w:rPr>
          <w:rStyle w:val="VerbatimChar"/>
        </w:rPr>
        <w:t xml:space="preserve">    FailureCount    = countif(ResultType != 0),</w:t>
      </w:r>
      <w:r>
        <w:br/>
      </w:r>
      <w:r>
        <w:rPr>
          <w:rStyle w:val="VerbatimChar"/>
        </w:rPr>
        <w:t xml:space="preserve">    FirstPrompt     = min(TimeGenerated),</w:t>
      </w:r>
      <w:r>
        <w:br/>
      </w:r>
      <w:r>
        <w:rPr>
          <w:rStyle w:val="VerbatimChar"/>
        </w:rPr>
        <w:t xml:space="preserve">    LastPrompt      = max(TimeGenerated),</w:t>
      </w:r>
      <w:r>
        <w:br/>
      </w:r>
      <w:r>
        <w:rPr>
          <w:rStyle w:val="VerbatimChar"/>
        </w:rPr>
        <w:t xml:space="preserve">    SourceIPs       = make_set(IPAddress, 20),</w:t>
      </w:r>
      <w:r>
        <w:br/>
      </w:r>
      <w:r>
        <w:rPr>
          <w:rStyle w:val="VerbatimChar"/>
        </w:rPr>
        <w:t xml:space="preserve">    Apps            = make_set(AppDisplayName, 10)</w:t>
      </w:r>
      <w:r>
        <w:br/>
      </w:r>
      <w:r>
        <w:rPr>
          <w:rStyle w:val="VerbatimChar"/>
        </w:rPr>
        <w:t xml:space="preserve">    by UserPrincipalName</w:t>
      </w:r>
      <w:r>
        <w:br/>
      </w:r>
      <w:r>
        <w:rPr>
          <w:rStyle w:val="VerbatimChar"/>
        </w:rPr>
        <w:t xml:space="preserve">| where TotalPrompts &gt;= MfaPromptThreshold</w:t>
      </w:r>
      <w:r>
        <w:br/>
      </w:r>
      <w:r>
        <w:rPr>
          <w:rStyle w:val="VerbatimChar"/>
        </w:rPr>
        <w:t xml:space="preserve">| where SuccessCount == 0  // No successful auth despite multiple prompts</w:t>
      </w:r>
      <w:r>
        <w:br/>
      </w:r>
      <w:r>
        <w:rPr>
          <w:rStyle w:val="VerbatimChar"/>
        </w:rPr>
        <w:t xml:space="preserve">| extend DurationMinutes = datetime_diff('minute', LastPrompt, FirstPrompt)</w:t>
      </w:r>
      <w:r>
        <w:br/>
      </w:r>
      <w:r>
        <w:rPr>
          <w:rStyle w:val="VerbatimChar"/>
        </w:rPr>
        <w:t xml:space="preserve">| where DurationMinutes &lt;= 60</w:t>
      </w:r>
      <w:r>
        <w:br/>
      </w:r>
      <w:r>
        <w:rPr>
          <w:rStyle w:val="VerbatimChar"/>
        </w:rPr>
        <w:t xml:space="preserve">| project</w:t>
      </w:r>
      <w:r>
        <w:br/>
      </w:r>
      <w:r>
        <w:rPr>
          <w:rStyle w:val="VerbatimChar"/>
        </w:rPr>
        <w:t xml:space="preserve">    FirstPrompt,</w:t>
      </w:r>
      <w:r>
        <w:br/>
      </w:r>
      <w:r>
        <w:rPr>
          <w:rStyle w:val="VerbatimChar"/>
        </w:rPr>
        <w:t xml:space="preserve">    LastPrompt,</w:t>
      </w:r>
      <w:r>
        <w:br/>
      </w:r>
      <w:r>
        <w:rPr>
          <w:rStyle w:val="VerbatimChar"/>
        </w:rPr>
        <w:t xml:space="preserve">    UserPrincipalName,</w:t>
      </w:r>
      <w:r>
        <w:br/>
      </w:r>
      <w:r>
        <w:rPr>
          <w:rStyle w:val="VerbatimChar"/>
        </w:rPr>
        <w:t xml:space="preserve">    TotalPrompts,</w:t>
      </w:r>
      <w:r>
        <w:br/>
      </w:r>
      <w:r>
        <w:rPr>
          <w:rStyle w:val="VerbatimChar"/>
        </w:rPr>
        <w:t xml:space="preserve">    SuccessCount,</w:t>
      </w:r>
      <w:r>
        <w:br/>
      </w:r>
      <w:r>
        <w:rPr>
          <w:rStyle w:val="VerbatimChar"/>
        </w:rPr>
        <w:t xml:space="preserve">    FailureCount,</w:t>
      </w:r>
      <w:r>
        <w:br/>
      </w:r>
      <w:r>
        <w:rPr>
          <w:rStyle w:val="VerbatimChar"/>
        </w:rPr>
        <w:t xml:space="preserve">    DurationMinutes,</w:t>
      </w:r>
      <w:r>
        <w:br/>
      </w:r>
      <w:r>
        <w:rPr>
          <w:rStyle w:val="VerbatimChar"/>
        </w:rPr>
        <w:t xml:space="preserve">    SourceIPs,</w:t>
      </w:r>
      <w:r>
        <w:br/>
      </w:r>
      <w:r>
        <w:rPr>
          <w:rStyle w:val="VerbatimChar"/>
        </w:rPr>
        <w:t xml:space="preserve">    Apps</w:t>
      </w:r>
      <w:r>
        <w:br/>
      </w:r>
      <w:r>
        <w:rPr>
          <w:rStyle w:val="VerbatimChar"/>
        </w:rPr>
        <w:t xml:space="preserve">| order by TotalPrompts desc</w:t>
      </w:r>
    </w:p>
    <w:p>
      <w:pPr>
        <w:pStyle w:val="FirstParagraph"/>
      </w:pPr>
      <w:r>
        <w:rPr>
          <w:b/>
          <w:bCs/>
        </w:rPr>
        <w:t xml:space="preserve">Response priority:</w:t>
      </w:r>
      <w:r>
        <w:t xml:space="preserve"> </w:t>
      </w:r>
      <w:r>
        <w:t xml:space="preserve">This rule should trigger an automated playbook that immediately disables MFA push notifications for the affected user and sends a Teams/email alert to the user’s manager and the SOC. The attack window is minutes.</w:t>
      </w:r>
    </w:p>
    <w:bookmarkEnd w:id="194"/>
    <w:bookmarkStart w:id="195" w:name="Xee06acc71ee90891f161350ccb15620705cc8b6"/>
    <w:p>
      <w:pPr>
        <w:pStyle w:val="Heading3"/>
      </w:pPr>
      <w:r>
        <w:t xml:space="preserve">SQL Server: SA Account Re-Enabled [RULE ONLY]</w:t>
      </w:r>
    </w:p>
    <w:p>
      <w:pPr>
        <w:pStyle w:val="FirstParagraph"/>
      </w:pPr>
      <w:r>
        <w:rPr>
          <w:b/>
          <w:bCs/>
        </w:rPr>
        <w:t xml:space="preserve">Threat:</w:t>
      </w:r>
      <w:r>
        <w:t xml:space="preserve"> </w:t>
      </w:r>
      <w:r>
        <w:t xml:space="preserve">Re-enabling the SQL Server System Administrator (SA) account, which should be permanently disabled in any production SQL Server instance per CIS SQL Server benchmark and STIG V-79075. Re-enabling SA is a significant indicator of either unauthorized administrative access or a misconfiguration.</w:t>
      </w:r>
    </w:p>
    <w:p>
      <w:pPr>
        <w:pStyle w:val="BodyText"/>
      </w:pPr>
      <w:r>
        <w:rPr>
          <w:b/>
          <w:bCs/>
        </w:rPr>
        <w:t xml:space="preserve">Detection logic:</w:t>
      </w:r>
      <w:r>
        <w:t xml:space="preserve"> </w:t>
      </w:r>
      <w:r>
        <w:t xml:space="preserve">Query</w:t>
      </w:r>
      <w:r>
        <w:t xml:space="preserve"> </w:t>
      </w:r>
      <w:r>
        <w:rPr>
          <w:rStyle w:val="VerbatimChar"/>
        </w:rPr>
        <w:t xml:space="preserve">AzureDiagnostics</w:t>
      </w:r>
      <w:r>
        <w:t xml:space="preserve"> </w:t>
      </w:r>
      <w:r>
        <w:t xml:space="preserve">for SQL audit events where</w:t>
      </w:r>
      <w:r>
        <w:t xml:space="preserve"> </w:t>
      </w:r>
      <w:r>
        <w:rPr>
          <w:rStyle w:val="VerbatimChar"/>
        </w:rPr>
        <w:t xml:space="preserve">event_class_s == "AUDIT_LOGIN_FAILED"</w:t>
      </w:r>
      <w:r>
        <w:t xml:space="preserve"> </w:t>
      </w:r>
      <w:r>
        <w:t xml:space="preserve">or</w:t>
      </w:r>
      <w:r>
        <w:t xml:space="preserve"> </w:t>
      </w:r>
      <w:r>
        <w:rPr>
          <w:rStyle w:val="VerbatimChar"/>
        </w:rPr>
        <w:t xml:space="preserve">statement_s</w:t>
      </w:r>
      <w:r>
        <w:t xml:space="preserve"> </w:t>
      </w:r>
      <w:r>
        <w:t xml:space="preserve">contains</w:t>
      </w:r>
      <w:r>
        <w:t xml:space="preserve"> </w:t>
      </w:r>
      <w:r>
        <w:rPr>
          <w:rStyle w:val="VerbatimChar"/>
        </w:rPr>
        <w:t xml:space="preserve">ALTER LOGIN sa ENABLE</w:t>
      </w:r>
      <w:r>
        <w:t xml:space="preserve">. Alert on any occurrence with no suppression — this event should be zero-frequency in a properly configured environment.</w:t>
      </w:r>
    </w:p>
    <w:p>
      <w:pPr>
        <w:pStyle w:val="BodyText"/>
      </w:pPr>
      <w:r>
        <w:rPr>
          <w:b/>
          <w:bCs/>
        </w:rPr>
        <w:t xml:space="preserve">Sentinel alert severity:</w:t>
      </w:r>
      <w:r>
        <w:t xml:space="preserve"> </w:t>
      </w:r>
      <w:r>
        <w:t xml:space="preserve">High.</w:t>
      </w:r>
    </w:p>
    <w:bookmarkEnd w:id="195"/>
    <w:bookmarkStart w:id="196" w:name="Xda7fc669e63da312eded75452a55757afb84064"/>
    <w:p>
      <w:pPr>
        <w:pStyle w:val="Heading3"/>
      </w:pPr>
      <w:r>
        <w:t xml:space="preserve">SQL Server: Login from Unexpected Source IP [RULE ONLY]</w:t>
      </w:r>
    </w:p>
    <w:p>
      <w:pPr>
        <w:pStyle w:val="FirstParagraph"/>
      </w:pPr>
      <w:r>
        <w:rPr>
          <w:b/>
          <w:bCs/>
        </w:rPr>
        <w:t xml:space="preserve">Threat:</w:t>
      </w:r>
      <w:r>
        <w:t xml:space="preserve"> </w:t>
      </w:r>
      <w:r>
        <w:t xml:space="preserve">A SQL Server login originating from an IP address outside the expected application server subnets — indicating either lateral movement or a misconfigured application server.</w:t>
      </w:r>
    </w:p>
    <w:p>
      <w:pPr>
        <w:pStyle w:val="BodyText"/>
      </w:pPr>
      <w:r>
        <w:rPr>
          <w:b/>
          <w:bCs/>
        </w:rPr>
        <w:t xml:space="preserve">Detection logic:</w:t>
      </w:r>
      <w:r>
        <w:t xml:space="preserve"> </w:t>
      </w:r>
      <w:r>
        <w:t xml:space="preserve">Build a watchlist in Sentinel containing the expected source IP ranges for each SQL Server instance (application server subnets). Query</w:t>
      </w:r>
      <w:r>
        <w:t xml:space="preserve"> </w:t>
      </w:r>
      <w:r>
        <w:rPr>
          <w:rStyle w:val="VerbatimChar"/>
        </w:rPr>
        <w:t xml:space="preserve">AzureDiagnostics</w:t>
      </w:r>
      <w:r>
        <w:t xml:space="preserve"> </w:t>
      </w:r>
      <w:r>
        <w:t xml:space="preserve">for successful SQL logins where</w:t>
      </w:r>
      <w:r>
        <w:t xml:space="preserve"> </w:t>
      </w:r>
      <w:r>
        <w:rPr>
          <w:rStyle w:val="VerbatimChar"/>
        </w:rPr>
        <w:t xml:space="preserve">client_ip_s</w:t>
      </w:r>
      <w:r>
        <w:t xml:space="preserve"> </w:t>
      </w:r>
      <w:r>
        <w:t xml:space="preserve">does not fall within any expected range. Alert on first occurrence from any unexpected IP.</w:t>
      </w:r>
    </w:p>
    <w:bookmarkEnd w:id="196"/>
    <w:bookmarkStart w:id="197" w:name="Xd266acf6d46f7ef1d824c29e9ce322fe8725e32"/>
    <w:p>
      <w:pPr>
        <w:pStyle w:val="Heading3"/>
      </w:pPr>
      <w:r>
        <w:t xml:space="preserve">NTLM: Any NTLM Event Post-Phase-C Block [KQL INCLUDED]</w:t>
      </w:r>
    </w:p>
    <w:p>
      <w:pPr>
        <w:pStyle w:val="FirstParagraph"/>
      </w:pPr>
      <w:r>
        <w:rPr>
          <w:b/>
          <w:bCs/>
        </w:rPr>
        <w:t xml:space="preserve">Threat:</w:t>
      </w:r>
      <w:r>
        <w:t xml:space="preserve"> </w:t>
      </w:r>
      <w:r>
        <w:t xml:space="preserve">After Phase C NTLM block is enforced (per Vol II Book 01 (SQL Server Authentication Modernization) of this series), any NTLM authentication event reaching a Domain Controller or SQL Server is an anomaly. It indicates either a misconfigured client that did not receive the policy, an adversary replaying a captured NTLM hash, or a rogue device not enrolled in Entra ID.</w:t>
      </w:r>
    </w:p>
    <w:p>
      <w:pPr>
        <w:pStyle w:val="SourceCode"/>
      </w:pPr>
      <w:r>
        <w:rPr>
          <w:rStyle w:val="VerbatimChar"/>
        </w:rPr>
        <w:t xml:space="preserve">// NTLM Post-Block Detection via Defender for Endpoint device events</w:t>
      </w:r>
      <w:r>
        <w:br/>
      </w:r>
      <w:r>
        <w:rPr>
          <w:rStyle w:val="VerbatimChar"/>
        </w:rPr>
        <w:t xml:space="preserve">// Any NTLM auth event after Phase C enforcement date = anomaly</w:t>
      </w:r>
      <w:r>
        <w:br/>
      </w:r>
      <w:r>
        <w:rPr>
          <w:rStyle w:val="VerbatimChar"/>
        </w:rPr>
        <w:t xml:space="preserve">let NtlmBlockEnforcementDate = datetime(2026-03-01);  // Set to actual enforcement date</w:t>
      </w:r>
      <w:r>
        <w:br/>
      </w:r>
      <w:r>
        <w:rPr>
          <w:rStyle w:val="VerbatimChar"/>
        </w:rPr>
        <w:t xml:space="preserve">DeviceLogonEvents</w:t>
      </w:r>
      <w:r>
        <w:br/>
      </w:r>
      <w:r>
        <w:rPr>
          <w:rStyle w:val="VerbatimChar"/>
        </w:rPr>
        <w:t xml:space="preserve">| where TimeGenerated &gt;= NtlmBlockEnforcementDate</w:t>
      </w:r>
      <w:r>
        <w:br/>
      </w:r>
      <w:r>
        <w:rPr>
          <w:rStyle w:val="VerbatimChar"/>
        </w:rPr>
        <w:t xml:space="preserve">| where LogonType in ("Network", "NetworkCleartext")</w:t>
      </w:r>
      <w:r>
        <w:br/>
      </w:r>
      <w:r>
        <w:rPr>
          <w:rStyle w:val="VerbatimChar"/>
        </w:rPr>
        <w:t xml:space="preserve">| where Protocol == "NTLM" or AuthenticationPackage == "NTLM"</w:t>
      </w:r>
      <w:r>
        <w:br/>
      </w:r>
      <w:r>
        <w:rPr>
          <w:rStyle w:val="VerbatimChar"/>
        </w:rPr>
        <w:t xml:space="preserve">| project</w:t>
      </w:r>
      <w:r>
        <w:br/>
      </w:r>
      <w:r>
        <w:rPr>
          <w:rStyle w:val="VerbatimChar"/>
        </w:rPr>
        <w:t xml:space="preserve">    TimeGenerated,</w:t>
      </w:r>
      <w:r>
        <w:br/>
      </w:r>
      <w:r>
        <w:rPr>
          <w:rStyle w:val="VerbatimChar"/>
        </w:rPr>
        <w:t xml:space="preserve">    DeviceName,</w:t>
      </w:r>
      <w:r>
        <w:br/>
      </w:r>
      <w:r>
        <w:rPr>
          <w:rStyle w:val="VerbatimChar"/>
        </w:rPr>
        <w:t xml:space="preserve">    AccountName,</w:t>
      </w:r>
      <w:r>
        <w:br/>
      </w:r>
      <w:r>
        <w:rPr>
          <w:rStyle w:val="VerbatimChar"/>
        </w:rPr>
        <w:t xml:space="preserve">    AccountDomain,</w:t>
      </w:r>
      <w:r>
        <w:br/>
      </w:r>
      <w:r>
        <w:rPr>
          <w:rStyle w:val="VerbatimChar"/>
        </w:rPr>
        <w:t xml:space="preserve">    RemoteIP,</w:t>
      </w:r>
      <w:r>
        <w:br/>
      </w:r>
      <w:r>
        <w:rPr>
          <w:rStyle w:val="VerbatimChar"/>
        </w:rPr>
        <w:t xml:space="preserve">    RemotePort,</w:t>
      </w:r>
      <w:r>
        <w:br/>
      </w:r>
      <w:r>
        <w:rPr>
          <w:rStyle w:val="VerbatimChar"/>
        </w:rPr>
        <w:t xml:space="preserve">    LogonType,</w:t>
      </w:r>
      <w:r>
        <w:br/>
      </w:r>
      <w:r>
        <w:rPr>
          <w:rStyle w:val="VerbatimChar"/>
        </w:rPr>
        <w:t xml:space="preserve">    Protocol,</w:t>
      </w:r>
      <w:r>
        <w:br/>
      </w:r>
      <w:r>
        <w:rPr>
          <w:rStyle w:val="VerbatimChar"/>
        </w:rPr>
        <w:t xml:space="preserve">    InitiatingProcessFileName,</w:t>
      </w:r>
      <w:r>
        <w:br/>
      </w:r>
      <w:r>
        <w:rPr>
          <w:rStyle w:val="VerbatimChar"/>
        </w:rPr>
        <w:t xml:space="preserve">    InitiatingProcessCommandLine</w:t>
      </w:r>
      <w:r>
        <w:br/>
      </w:r>
      <w:r>
        <w:rPr>
          <w:rStyle w:val="VerbatimChar"/>
        </w:rPr>
        <w:t xml:space="preserve">| order by TimeGenerated desc</w:t>
      </w:r>
    </w:p>
    <w:p>
      <w:pPr>
        <w:pStyle w:val="FirstParagraph"/>
      </w:pPr>
      <w:r>
        <w:rPr>
          <w:b/>
          <w:bCs/>
        </w:rPr>
        <w:t xml:space="preserve">Expected state:</w:t>
      </w:r>
      <w:r>
        <w:t xml:space="preserve"> </w:t>
      </w:r>
      <w:r>
        <w:t xml:space="preserve">Zero results after the enforcement date. Any result is a P1 incident requiring immediate investigation. Create a Sentinel watchlist of devices with documented NTLM exemptions and join-exclude them from this rule.</w:t>
      </w:r>
    </w:p>
    <w:bookmarkEnd w:id="197"/>
    <w:bookmarkStart w:id="198" w:name="X356996399167ea558d2cc7d6ab7200428e8235c"/>
    <w:p>
      <w:pPr>
        <w:pStyle w:val="Heading3"/>
      </w:pPr>
      <w:r>
        <w:t xml:space="preserve">Defender for Endpoint: KEV CVE Actively Exploited on Enrolled Host [RULE ONLY]</w:t>
      </w:r>
    </w:p>
    <w:p>
      <w:pPr>
        <w:pStyle w:val="FirstParagraph"/>
      </w:pPr>
      <w:r>
        <w:rPr>
          <w:b/>
          <w:bCs/>
        </w:rPr>
        <w:t xml:space="preserve">Threat:</w:t>
      </w:r>
      <w:r>
        <w:t xml:space="preserve"> </w:t>
      </w:r>
      <w:r>
        <w:t xml:space="preserve">A vulnerability from the CISA KEV catalog is present on an enrolled device, elevated to</w:t>
      </w:r>
      <w:r>
        <w:t xml:space="preserve"> </w:t>
      </w:r>
      <w:r>
        <w:t xml:space="preserve">“exploit detected”</w:t>
      </w:r>
      <w:r>
        <w:t xml:space="preserve"> </w:t>
      </w:r>
      <w:r>
        <w:t xml:space="preserve">status by Defender for Endpoint’s threat intelligence correlation. This means active exploitation activity, not merely the presence of a vulnerable software version.</w:t>
      </w:r>
    </w:p>
    <w:p>
      <w:pPr>
        <w:pStyle w:val="BodyText"/>
      </w:pPr>
      <w:r>
        <w:rPr>
          <w:b/>
          <w:bCs/>
        </w:rPr>
        <w:t xml:space="preserve">Detection logic:</w:t>
      </w:r>
      <w:r>
        <w:t xml:space="preserve"> </w:t>
      </w:r>
      <w:r>
        <w:t xml:space="preserve">Query</w:t>
      </w:r>
      <w:r>
        <w:t xml:space="preserve"> </w:t>
      </w:r>
      <w:r>
        <w:rPr>
          <w:rStyle w:val="VerbatimChar"/>
        </w:rPr>
        <w:t xml:space="preserve">DeviceVulnerabilityAssessmentEvent</w:t>
      </w:r>
      <w:r>
        <w:t xml:space="preserve"> </w:t>
      </w:r>
      <w:r>
        <w:t xml:space="preserve">for events where</w:t>
      </w:r>
      <w:r>
        <w:t xml:space="preserve"> </w:t>
      </w:r>
      <w:r>
        <w:rPr>
          <w:rStyle w:val="VerbatimChar"/>
        </w:rPr>
        <w:t xml:space="preserve">CveId</w:t>
      </w:r>
      <w:r>
        <w:t xml:space="preserve"> </w:t>
      </w:r>
      <w:r>
        <w:t xml:space="preserve">appears in a Sentinel watchlist populated from the CISA KEV JSON feed (updated daily via Logic App) AND</w:t>
      </w:r>
      <w:r>
        <w:t xml:space="preserve"> </w:t>
      </w:r>
      <w:r>
        <w:rPr>
          <w:rStyle w:val="VerbatimChar"/>
        </w:rPr>
        <w:t xml:space="preserve">EventType == "Exploit"</w:t>
      </w:r>
      <w:r>
        <w:t xml:space="preserve">. Fire immediately with Critical severity. Trigger automated device isolation playbook.</w:t>
      </w:r>
    </w:p>
    <w:bookmarkEnd w:id="198"/>
    <w:bookmarkStart w:id="199" w:name="Xc835240a1b19987d36f68dc1743b6783379d2ce"/>
    <w:p>
      <w:pPr>
        <w:pStyle w:val="Heading3"/>
      </w:pPr>
      <w:r>
        <w:t xml:space="preserve">SASE: Unusual Data Volume Upload to Approved Cloud App [RULE ONLY]</w:t>
      </w:r>
    </w:p>
    <w:p>
      <w:pPr>
        <w:pStyle w:val="FirstParagraph"/>
      </w:pPr>
      <w:r>
        <w:rPr>
          <w:b/>
          <w:bCs/>
        </w:rPr>
        <w:t xml:space="preserve">Threat:</w:t>
      </w:r>
      <w:r>
        <w:t xml:space="preserve"> </w:t>
      </w:r>
      <w:r>
        <w:t xml:space="preserve">Data exfiltration via an approved cloud application — uploading an abnormally large volume of data to SharePoint, OneDrive, or a SaaS application. This is a UEBA-class detection (baseline required) rather than a threshold-based rule.</w:t>
      </w:r>
    </w:p>
    <w:p>
      <w:pPr>
        <w:pStyle w:val="BodyText"/>
      </w:pPr>
      <w:r>
        <w:rPr>
          <w:b/>
          <w:bCs/>
        </w:rPr>
        <w:t xml:space="preserve">Detection logic:</w:t>
      </w:r>
      <w:r>
        <w:t xml:space="preserve"> </w:t>
      </w:r>
      <w:r>
        <w:t xml:space="preserve">Calculate each user’s 30-day rolling average upload volume to each cloud application via SASE flow logs. Alert when a single session’s upload volume exceeds the 30-day rolling average by more than 5 standard deviations, with a minimum threshold of 500 MB to suppress noise. This rule requires 30 days of SASE baseline data before enabling.</w:t>
      </w:r>
    </w:p>
    <w:bookmarkEnd w:id="199"/>
    <w:bookmarkEnd w:id="200"/>
    <w:bookmarkStart w:id="201" w:name="additional-priority-rules-rule-only"/>
    <w:p>
      <w:pPr>
        <w:pStyle w:val="Heading2"/>
      </w:pPr>
      <w:r>
        <w:t xml:space="preserve">Additional Priority Rules (Rule Only)</w:t>
      </w:r>
    </w:p>
    <w:p>
      <w:pPr>
        <w:pStyle w:val="FirstParagraph"/>
      </w:pPr>
      <w:r>
        <w:t xml:space="preserve">The following rules complete the 20-rule priority set without full KQL. Each should be implemented after the KQL-included rules above are tuned and stable.</w:t>
      </w:r>
    </w:p>
    <w:p>
      <w:pPr>
        <w:pStyle w:val="TableCaption"/>
      </w:pPr>
      <w:r>
        <w:t xml:space="preserve">Priority detection rule set beyond KQL-included examples</w:t>
      </w:r>
    </w:p>
    <w:tbl>
      <w:tblPr>
        <w:tblStyle w:val="Table"/>
        <w:tblW w:type="pct" w:w="5000"/>
        <w:tblLayout w:type="fixed"/>
        <w:tblLook w:firstRow="1" w:lastRow="0" w:firstColumn="0" w:lastColumn="0" w:noHBand="0" w:noVBand="0" w:val="0020"/>
        <w:tblCaption w:val="Priority detection rule set beyond KQL-included examples"/>
      </w:tblPr>
      <w:tblGrid>
        <w:gridCol w:w="1584"/>
        <w:gridCol w:w="1584"/>
        <w:gridCol w:w="1584"/>
        <w:gridCol w:w="1584"/>
        <w:gridCol w:w="1584"/>
      </w:tblGrid>
      <w:tr>
        <w:trPr>
          <w:tblHeader w:val="on"/>
        </w:trPr>
        <w:tc>
          <w:tcPr/>
          <w:p>
            <w:pPr>
              <w:pStyle w:val="Compact"/>
            </w:pPr>
            <w:r>
              <w:t xml:space="preserve">Rule #</w:t>
            </w:r>
          </w:p>
        </w:tc>
        <w:tc>
          <w:tcPr/>
          <w:p>
            <w:pPr>
              <w:pStyle w:val="Compact"/>
            </w:pPr>
            <w:r>
              <w:t xml:space="preserve">Name</w:t>
            </w:r>
          </w:p>
        </w:tc>
        <w:tc>
          <w:tcPr/>
          <w:p>
            <w:pPr>
              <w:pStyle w:val="Compact"/>
            </w:pPr>
            <w:r>
              <w:t xml:space="preserve">Source</w:t>
            </w:r>
          </w:p>
        </w:tc>
        <w:tc>
          <w:tcPr/>
          <w:p>
            <w:pPr>
              <w:pStyle w:val="Compact"/>
            </w:pPr>
            <w:r>
              <w:t xml:space="preserve">Severity</w:t>
            </w:r>
          </w:p>
        </w:tc>
        <w:tc>
          <w:tcPr/>
          <w:p>
            <w:pPr>
              <w:pStyle w:val="Compact"/>
            </w:pPr>
            <w:r>
              <w:t xml:space="preserve">Key Threshold</w:t>
            </w:r>
          </w:p>
        </w:tc>
      </w:tr>
      <w:tr>
        <w:tc>
          <w:tcPr/>
          <w:p>
            <w:pPr>
              <w:pStyle w:val="Compact"/>
            </w:pPr>
            <w:r>
              <w:t xml:space="preserve">11</w:t>
            </w:r>
          </w:p>
        </w:tc>
        <w:tc>
          <w:tcPr/>
          <w:p>
            <w:pPr>
              <w:pStyle w:val="Compact"/>
            </w:pPr>
            <w:r>
              <w:t xml:space="preserve">Entra ID — Bulk User Deletion</w:t>
            </w:r>
          </w:p>
        </w:tc>
        <w:tc>
          <w:tcPr/>
          <w:p>
            <w:pPr>
              <w:pStyle w:val="Compact"/>
            </w:pPr>
            <w:r>
              <w:t xml:space="preserve">AuditLogs</w:t>
            </w:r>
          </w:p>
        </w:tc>
        <w:tc>
          <w:tcPr/>
          <w:p>
            <w:pPr>
              <w:pStyle w:val="Compact"/>
            </w:pPr>
            <w:r>
              <w:t xml:space="preserve">High</w:t>
            </w:r>
          </w:p>
        </w:tc>
        <w:tc>
          <w:tcPr/>
          <w:p>
            <w:pPr>
              <w:pStyle w:val="Compact"/>
            </w:pPr>
            <w:r>
              <w:t xml:space="preserve">&gt;10 user deletions in 5 min by single admin</w:t>
            </w:r>
          </w:p>
        </w:tc>
      </w:tr>
      <w:tr>
        <w:tc>
          <w:tcPr/>
          <w:p>
            <w:pPr>
              <w:pStyle w:val="Compact"/>
            </w:pPr>
            <w:r>
              <w:t xml:space="preserve">12</w:t>
            </w:r>
          </w:p>
        </w:tc>
        <w:tc>
          <w:tcPr/>
          <w:p>
            <w:pPr>
              <w:pStyle w:val="Compact"/>
            </w:pPr>
            <w:r>
              <w:t xml:space="preserve">Entra ID — Conditional Access Policy Disabled</w:t>
            </w:r>
          </w:p>
        </w:tc>
        <w:tc>
          <w:tcPr/>
          <w:p>
            <w:pPr>
              <w:pStyle w:val="Compact"/>
            </w:pPr>
            <w:r>
              <w:t xml:space="preserve">AuditLogs</w:t>
            </w:r>
          </w:p>
        </w:tc>
        <w:tc>
          <w:tcPr/>
          <w:p>
            <w:pPr>
              <w:pStyle w:val="Compact"/>
            </w:pPr>
            <w:r>
              <w:t xml:space="preserve">High</w:t>
            </w:r>
          </w:p>
        </w:tc>
        <w:tc>
          <w:tcPr/>
          <w:p>
            <w:pPr>
              <w:pStyle w:val="Compact"/>
            </w:pPr>
            <w:r>
              <w:t xml:space="preserve">Any CA policy disable event</w:t>
            </w:r>
          </w:p>
        </w:tc>
      </w:tr>
      <w:tr>
        <w:tc>
          <w:tcPr/>
          <w:p>
            <w:pPr>
              <w:pStyle w:val="Compact"/>
            </w:pPr>
            <w:r>
              <w:t xml:space="preserve">13</w:t>
            </w:r>
          </w:p>
        </w:tc>
        <w:tc>
          <w:tcPr/>
          <w:p>
            <w:pPr>
              <w:pStyle w:val="Compact"/>
            </w:pPr>
            <w:r>
              <w:t xml:space="preserve">Entra ID — Service Principal Credential Added</w:t>
            </w:r>
          </w:p>
        </w:tc>
        <w:tc>
          <w:tcPr/>
          <w:p>
            <w:pPr>
              <w:pStyle w:val="Compact"/>
            </w:pPr>
            <w:r>
              <w:t xml:space="preserve">AuditLogs</w:t>
            </w:r>
          </w:p>
        </w:tc>
        <w:tc>
          <w:tcPr/>
          <w:p>
            <w:pPr>
              <w:pStyle w:val="Compact"/>
            </w:pPr>
            <w:r>
              <w:t xml:space="preserve">Medium</w:t>
            </w:r>
          </w:p>
        </w:tc>
        <w:tc>
          <w:tcPr/>
          <w:p>
            <w:pPr>
              <w:pStyle w:val="Compact"/>
            </w:pPr>
            <w:r>
              <w:t xml:space="preserve">New client secret or certificate on existing SP</w:t>
            </w:r>
          </w:p>
        </w:tc>
      </w:tr>
      <w:tr>
        <w:tc>
          <w:tcPr/>
          <w:p>
            <w:pPr>
              <w:pStyle w:val="Compact"/>
            </w:pPr>
            <w:r>
              <w:t xml:space="preserve">14</w:t>
            </w:r>
          </w:p>
        </w:tc>
        <w:tc>
          <w:tcPr/>
          <w:p>
            <w:pPr>
              <w:pStyle w:val="Compact"/>
            </w:pPr>
            <w:r>
              <w:t xml:space="preserve">SQL — Bulk Data Export (SELECT INTO OUTFILE equivalent)</w:t>
            </w:r>
          </w:p>
        </w:tc>
        <w:tc>
          <w:tcPr/>
          <w:p>
            <w:pPr>
              <w:pStyle w:val="Compact"/>
            </w:pPr>
            <w:r>
              <w:t xml:space="preserve">AzureDiagnostics</w:t>
            </w:r>
          </w:p>
        </w:tc>
        <w:tc>
          <w:tcPr/>
          <w:p>
            <w:pPr>
              <w:pStyle w:val="Compact"/>
            </w:pPr>
            <w:r>
              <w:t xml:space="preserve">Medium</w:t>
            </w:r>
          </w:p>
        </w:tc>
        <w:tc>
          <w:tcPr/>
          <w:p>
            <w:pPr>
              <w:pStyle w:val="Compact"/>
            </w:pPr>
            <w:r>
              <w:t xml:space="preserve">&gt;10,000 rows exported in single query session</w:t>
            </w:r>
          </w:p>
        </w:tc>
      </w:tr>
      <w:tr>
        <w:tc>
          <w:tcPr/>
          <w:p>
            <w:pPr>
              <w:pStyle w:val="Compact"/>
            </w:pPr>
            <w:r>
              <w:t xml:space="preserve">15</w:t>
            </w:r>
          </w:p>
        </w:tc>
        <w:tc>
          <w:tcPr/>
          <w:p>
            <w:pPr>
              <w:pStyle w:val="Compact"/>
            </w:pPr>
            <w:r>
              <w:t xml:space="preserve">Defender — Process Injection Detected</w:t>
            </w:r>
          </w:p>
        </w:tc>
        <w:tc>
          <w:tcPr/>
          <w:p>
            <w:pPr>
              <w:pStyle w:val="Compact"/>
            </w:pPr>
            <w:r>
              <w:t xml:space="preserve">DeviceEvents</w:t>
            </w:r>
          </w:p>
        </w:tc>
        <w:tc>
          <w:tcPr/>
          <w:p>
            <w:pPr>
              <w:pStyle w:val="Compact"/>
            </w:pPr>
            <w:r>
              <w:t xml:space="preserve">High</w:t>
            </w:r>
          </w:p>
        </w:tc>
        <w:tc>
          <w:tcPr/>
          <w:p>
            <w:pPr>
              <w:pStyle w:val="Compact"/>
            </w:pPr>
            <w:r>
              <w:t xml:space="preserve">Defender injection alert on any enrolled server</w:t>
            </w:r>
          </w:p>
        </w:tc>
      </w:tr>
      <w:tr>
        <w:tc>
          <w:tcPr/>
          <w:p>
            <w:pPr>
              <w:pStyle w:val="Compact"/>
            </w:pPr>
            <w:r>
              <w:t xml:space="preserve">16</w:t>
            </w:r>
          </w:p>
        </w:tc>
        <w:tc>
          <w:tcPr/>
          <w:p>
            <w:pPr>
              <w:pStyle w:val="Compact"/>
            </w:pPr>
            <w:r>
              <w:t xml:space="preserve">InfoBlox — DNSSEC Validation Failure Spike</w:t>
            </w:r>
          </w:p>
        </w:tc>
        <w:tc>
          <w:tcPr/>
          <w:p>
            <w:pPr>
              <w:pStyle w:val="Compact"/>
            </w:pPr>
            <w:r>
              <w:t xml:space="preserve">CommonSecurityLog</w:t>
            </w:r>
          </w:p>
        </w:tc>
        <w:tc>
          <w:tcPr/>
          <w:p>
            <w:pPr>
              <w:pStyle w:val="Compact"/>
            </w:pPr>
            <w:r>
              <w:t xml:space="preserve">Medium</w:t>
            </w:r>
          </w:p>
        </w:tc>
        <w:tc>
          <w:tcPr/>
          <w:p>
            <w:pPr>
              <w:pStyle w:val="Compact"/>
            </w:pPr>
            <w:r>
              <w:t xml:space="preserve">&gt;10 DNSSEC failures from single resolver in 15 min</w:t>
            </w:r>
          </w:p>
        </w:tc>
      </w:tr>
      <w:tr>
        <w:tc>
          <w:tcPr/>
          <w:p>
            <w:pPr>
              <w:pStyle w:val="Compact"/>
            </w:pPr>
            <w:r>
              <w:t xml:space="preserve">17</w:t>
            </w:r>
          </w:p>
        </w:tc>
        <w:tc>
          <w:tcPr/>
          <w:p>
            <w:pPr>
              <w:pStyle w:val="Compact"/>
            </w:pPr>
            <w:r>
              <w:t xml:space="preserve">Entra ID — Risky Sign-In with PIM Eligible Account</w:t>
            </w:r>
          </w:p>
        </w:tc>
        <w:tc>
          <w:tcPr/>
          <w:p>
            <w:pPr>
              <w:pStyle w:val="Compact"/>
            </w:pPr>
            <w:r>
              <w:t xml:space="preserve">AADUserRiskEvents + AuditLogs</w:t>
            </w:r>
          </w:p>
        </w:tc>
        <w:tc>
          <w:tcPr/>
          <w:p>
            <w:pPr>
              <w:pStyle w:val="Compact"/>
            </w:pPr>
            <w:r>
              <w:t xml:space="preserve">High</w:t>
            </w:r>
          </w:p>
        </w:tc>
        <w:tc>
          <w:tcPr/>
          <w:p>
            <w:pPr>
              <w:pStyle w:val="Compact"/>
            </w:pPr>
            <w:r>
              <w:t xml:space="preserve">Risk score High + PIM eligible role present</w:t>
            </w:r>
          </w:p>
        </w:tc>
      </w:tr>
      <w:tr>
        <w:tc>
          <w:tcPr/>
          <w:p>
            <w:pPr>
              <w:pStyle w:val="Compact"/>
            </w:pPr>
            <w:r>
              <w:t xml:space="preserve">18</w:t>
            </w:r>
          </w:p>
        </w:tc>
        <w:tc>
          <w:tcPr/>
          <w:p>
            <w:pPr>
              <w:pStyle w:val="Compact"/>
            </w:pPr>
            <w:r>
              <w:t xml:space="preserve">SASE — Access to Newly Registered Domain</w:t>
            </w:r>
          </w:p>
        </w:tc>
        <w:tc>
          <w:tcPr/>
          <w:p>
            <w:pPr>
              <w:pStyle w:val="Compact"/>
            </w:pPr>
            <w:r>
              <w:t xml:space="preserve">CommonSecurityLog</w:t>
            </w:r>
          </w:p>
        </w:tc>
        <w:tc>
          <w:tcPr/>
          <w:p>
            <w:pPr>
              <w:pStyle w:val="Compact"/>
            </w:pPr>
            <w:r>
              <w:t xml:space="preserve">Medium</w:t>
            </w:r>
          </w:p>
        </w:tc>
        <w:tc>
          <w:tcPr/>
          <w:p>
            <w:pPr>
              <w:pStyle w:val="Compact"/>
            </w:pPr>
            <w:r>
              <w:t xml:space="preserve">Domain registration age &lt;30 days via Zscaler/Netskope metadata</w:t>
            </w:r>
          </w:p>
        </w:tc>
      </w:tr>
      <w:tr>
        <w:tc>
          <w:tcPr/>
          <w:p>
            <w:pPr>
              <w:pStyle w:val="Compact"/>
            </w:pPr>
            <w:r>
              <w:t xml:space="preserve">19</w:t>
            </w:r>
          </w:p>
        </w:tc>
        <w:tc>
          <w:tcPr/>
          <w:p>
            <w:pPr>
              <w:pStyle w:val="Compact"/>
            </w:pPr>
            <w:r>
              <w:t xml:space="preserve">Defender — Living Off the Land Binary (LOLBin)</w:t>
            </w:r>
          </w:p>
        </w:tc>
        <w:tc>
          <w:tcPr/>
          <w:p>
            <w:pPr>
              <w:pStyle w:val="Compact"/>
            </w:pPr>
            <w:r>
              <w:t xml:space="preserve">DeviceProcessEvents</w:t>
            </w:r>
          </w:p>
        </w:tc>
        <w:tc>
          <w:tcPr/>
          <w:p>
            <w:pPr>
              <w:pStyle w:val="Compact"/>
            </w:pPr>
            <w:r>
              <w:t xml:space="preserve">Medium</w:t>
            </w:r>
          </w:p>
        </w:tc>
        <w:tc>
          <w:tcPr/>
          <w:p>
            <w:pPr>
              <w:pStyle w:val="Compact"/>
            </w:pPr>
            <w:r>
              <w:t xml:space="preserve">Certutil, regsvr32, mshta, wscript executing from unusual paths</w:t>
            </w:r>
          </w:p>
        </w:tc>
      </w:tr>
      <w:tr>
        <w:tc>
          <w:tcPr/>
          <w:p>
            <w:pPr>
              <w:pStyle w:val="Compact"/>
            </w:pPr>
            <w:r>
              <w:t xml:space="preserve">20</w:t>
            </w:r>
          </w:p>
        </w:tc>
        <w:tc>
          <w:tcPr/>
          <w:p>
            <w:pPr>
              <w:pStyle w:val="Compact"/>
            </w:pPr>
            <w:r>
              <w:t xml:space="preserve">InfoBlox TIDE — IOC Match (Auto-Generated)</w:t>
            </w:r>
          </w:p>
        </w:tc>
        <w:tc>
          <w:tcPr/>
          <w:p>
            <w:pPr>
              <w:pStyle w:val="Compact"/>
            </w:pPr>
            <w:r>
              <w:t xml:space="preserve">ThreatIntelligenceIndicator + all sources</w:t>
            </w:r>
          </w:p>
        </w:tc>
        <w:tc>
          <w:tcPr/>
          <w:p>
            <w:pPr>
              <w:pStyle w:val="Compact"/>
            </w:pPr>
            <w:r>
              <w:t xml:space="preserve">High</w:t>
            </w:r>
          </w:p>
        </w:tc>
        <w:tc>
          <w:tcPr/>
          <w:p>
            <w:pPr>
              <w:pStyle w:val="Compact"/>
            </w:pPr>
            <w:r>
              <w:t xml:space="preserve">Auto-correlation by built-in TI map rules</w:t>
            </w:r>
          </w:p>
        </w:tc>
      </w:tr>
    </w:tbl>
    <w:bookmarkEnd w:id="201"/>
    <w:bookmarkEnd w:id="202"/>
    <w:bookmarkStart w:id="207" w:name="ueba-user-and-entity-behavior-analytics"/>
    <w:p>
      <w:pPr>
        <w:pStyle w:val="Heading1"/>
      </w:pPr>
      <w:r>
        <w:t xml:space="preserve">UEBA — User and Entity Behavior Analytics</w:t>
      </w:r>
    </w:p>
    <w:bookmarkStart w:id="203" w:name="what-sentinel-ueba-provides"/>
    <w:p>
      <w:pPr>
        <w:pStyle w:val="Heading2"/>
      </w:pPr>
      <w:r>
        <w:t xml:space="preserve">What Sentinel UEBA Provides</w:t>
      </w:r>
    </w:p>
    <w:p>
      <w:pPr>
        <w:pStyle w:val="FirstParagraph"/>
      </w:pPr>
      <w:r>
        <w:t xml:space="preserve">User and Entity Behavior Analytics (UEBA) is a capability layer in Microsoft Sentinel that applies machine learning models across all connected log sources simultaneously to establish behavioral baselines and score anomalies. Unlike the threshold-based rules in Section 4, UEBA detections do not require a predefined threshold — they detect deviations from an individual user’s or entity’s own historical baseline.</w:t>
      </w:r>
    </w:p>
    <w:p>
      <w:pPr>
        <w:pStyle w:val="BodyText"/>
      </w:pPr>
      <w:r>
        <w:t xml:space="preserve">UEBA in Sentinel operates across four primary data sources: Entra ID sign-in and audit logs (identity behavior), Defender for Endpoint device events (endpoint behavior), SASE flow logs if connected through the Microsoft 365 Defender connector (network behavior), and Azure Activity logs (cloud resource behavior). When all four sources are connected, UEBA can correlate signals across the full kill chain — an anomalous sign-in leading to an anomalous device process execution leading to an anomalous network upload is surfaced as a single high-priority entity with escalating risk score.</w:t>
      </w:r>
    </w:p>
    <w:bookmarkEnd w:id="203"/>
    <w:bookmarkStart w:id="204" w:name="key-ueba-signals"/>
    <w:p>
      <w:pPr>
        <w:pStyle w:val="Heading2"/>
      </w:pPr>
      <w:r>
        <w:t xml:space="preserve">Key UEBA Signals</w:t>
      </w:r>
    </w:p>
    <w:p>
      <w:pPr>
        <w:pStyle w:val="FirstParagraph"/>
      </w:pPr>
      <w:r>
        <w:rPr>
          <w:b/>
          <w:bCs/>
        </w:rPr>
        <w:t xml:space="preserve">Investigation priority score</w:t>
      </w:r>
      <w:r>
        <w:t xml:space="preserve"> </w:t>
      </w:r>
      <w:r>
        <w:t xml:space="preserve">— Each user and entity in the environment receives a continuously updated investigation priority score (0–10) based on the weighted combination of their behavioral anomalies, peer group deviations, and risk signals from Entra ID Identity Protection. The score rises when anomalous actions accumulate and falls as behavior returns to baseline. SOC analysts should review users with scores above 7 daily, regardless of whether a specific alert has fired.</w:t>
      </w:r>
    </w:p>
    <w:p>
      <w:pPr>
        <w:pStyle w:val="BodyText"/>
      </w:pPr>
      <w:r>
        <w:rPr>
          <w:b/>
          <w:bCs/>
        </w:rPr>
        <w:t xml:space="preserve">Peer group deviation</w:t>
      </w:r>
      <w:r>
        <w:t xml:space="preserve"> </w:t>
      </w:r>
      <w:r>
        <w:t xml:space="preserve">— UEBA automatically groups users by department, job function, or role (inferred from Entra ID attributes and access patterns). A user who accesses cloud resources that no one in their peer group has ever accessed is flagged with a peer deviation score. This is particularly effective for detecting insider threats, where the user’s own historical baseline has not yet deviated but the peer comparison immediately flags the anomaly.</w:t>
      </w:r>
    </w:p>
    <w:p>
      <w:pPr>
        <w:pStyle w:val="BodyText"/>
      </w:pPr>
      <w:r>
        <w:rPr>
          <w:b/>
          <w:bCs/>
        </w:rPr>
        <w:t xml:space="preserve">Anomalous resource access</w:t>
      </w:r>
      <w:r>
        <w:t xml:space="preserve"> </w:t>
      </w:r>
      <w:r>
        <w:t xml:space="preserve">— UEBA tracks which resources (applications, SharePoint sites, SQL databases, Azure subscriptions) each user has historically accessed. First-time access to a sensitive resource generates an anomalous access signal that contributes to the investigation priority score without generating a standalone alert. The SOC can query anomalous access signals directly to see which users are touching resources outside their pattern.</w:t>
      </w:r>
    </w:p>
    <w:p>
      <w:pPr>
        <w:pStyle w:val="BodyText"/>
      </w:pPr>
      <w:r>
        <w:rPr>
          <w:b/>
          <w:bCs/>
        </w:rPr>
        <w:t xml:space="preserve">Entity page</w:t>
      </w:r>
      <w:r>
        <w:t xml:space="preserve"> </w:t>
      </w:r>
      <w:r>
        <w:t xml:space="preserve">— Every user and device in Sentinel has an entity page that aggregates: the current investigation priority score, recent alerts associated with the entity, UEBA behavioral anomaly signals, Entra ID risk indicators, device compliance posture from Defender, and recent sign-in history. When a SIEM incident fires and involves a user, the entity page for that user is the first place the analyst should go — it provides full context in a single view.</w:t>
      </w:r>
    </w:p>
    <w:bookmarkEnd w:id="204"/>
    <w:bookmarkStart w:id="205" w:name="X98adc5886f8c2bee5f398b46bad9df96e22dffd"/>
    <w:p>
      <w:pPr>
        <w:pStyle w:val="Heading2"/>
      </w:pPr>
      <w:r>
        <w:t xml:space="preserve">UEBA and Entra ID Identity Protection Integration</w:t>
      </w:r>
    </w:p>
    <w:p>
      <w:pPr>
        <w:pStyle w:val="FirstParagraph"/>
      </w:pPr>
      <w:r>
        <w:t xml:space="preserve">Entra ID Identity Protection produces two outputs that integrate directly with Sentinel UEBA: risky user records and risky sign-in events. These appear in the</w:t>
      </w:r>
      <w:r>
        <w:t xml:space="preserve"> </w:t>
      </w:r>
      <w:r>
        <w:rPr>
          <w:rStyle w:val="VerbatimChar"/>
        </w:rPr>
        <w:t xml:space="preserve">AADRiskyUsers</w:t>
      </w:r>
      <w:r>
        <w:t xml:space="preserve"> </w:t>
      </w:r>
      <w:r>
        <w:t xml:space="preserve">and</w:t>
      </w:r>
      <w:r>
        <w:t xml:space="preserve"> </w:t>
      </w:r>
      <w:r>
        <w:rPr>
          <w:rStyle w:val="VerbatimChar"/>
        </w:rPr>
        <w:t xml:space="preserve">AADUserRiskEvents</w:t>
      </w:r>
      <w:r>
        <w:t xml:space="preserve"> </w:t>
      </w:r>
      <w:r>
        <w:t xml:space="preserve">tables and are automatically incorporated into the UEBA investigation priority score.</w:t>
      </w:r>
    </w:p>
    <w:p>
      <w:pPr>
        <w:pStyle w:val="BodyText"/>
      </w:pPr>
      <w:r>
        <w:t xml:space="preserve">The integration creates a force-multiplier effect: a user who has a Medium risk level in Entra ID Identity Protection (triggered by, for example, leaked credentials detected in the MSTIC threat intelligence feed) AND who fires the MFA fatigue rule from Section 4 AND who has an anomalous UEBA resource access signal will have their investigation priority score rapidly elevated to 9–10, generating a Critical-priority Sentinel incident even if no single signal was individually high-confidence.</w:t>
      </w:r>
    </w:p>
    <w:p>
      <w:pPr>
        <w:pStyle w:val="SourceCode"/>
      </w:pPr>
      <w:r>
        <w:rPr>
          <w:rStyle w:val="CommentTok"/>
        </w:rPr>
        <w:t xml:space="preserve"># Enable Sentinel UEBA and configure entity providers</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"&lt;sentinel-resource-group&gt;"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rPr>
          <w:rStyle w:val="VariableTok"/>
        </w:rPr>
        <w:t xml:space="preserve">$SentinelName</w:t>
      </w:r>
      <w:r>
        <w:rPr>
          <w:rStyle w:val="NormalTok"/>
        </w:rPr>
        <w:t xml:space="preserve">    </w:t>
      </w:r>
      <w:r>
        <w:rPr>
          <w:rStyle w:val="OperatorTok"/>
        </w:rPr>
        <w:t xml:space="preserve">=</w:t>
      </w:r>
      <w:r>
        <w:rPr>
          <w:rStyle w:val="NormalTok"/>
        </w:rPr>
        <w:t xml:space="preserve"> </w:t>
      </w:r>
      <w:r>
        <w:rPr>
          <w:rStyle w:val="StringTok"/>
        </w:rPr>
        <w:t xml:space="preserve">"&lt;sentinel-workspace-name&gt;"</w:t>
      </w:r>
      <w:r>
        <w:br/>
      </w:r>
      <w:r>
        <w:br/>
      </w:r>
      <w:r>
        <w:rPr>
          <w:rStyle w:val="CommentTok"/>
        </w:rPr>
        <w:t xml:space="preserve"># Enable UEBA with Azure AD and AuditLogs as entity sources</w:t>
      </w:r>
      <w:r>
        <w:br/>
      </w:r>
      <w:r>
        <w:rPr>
          <w:rStyle w:val="NormalTok"/>
        </w:rPr>
        <w:t xml:space="preserve">Set-AzSentinelUeba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DataSources </w:t>
      </w:r>
      <w:r>
        <w:rPr>
          <w:rStyle w:val="OperatorTok"/>
        </w:rPr>
        <w:t xml:space="preserve">@(</w:t>
      </w:r>
      <w:r>
        <w:rPr>
          <w:rStyle w:val="StringTok"/>
        </w:rPr>
        <w:t xml:space="preserve">"AuditLogs"</w:t>
      </w:r>
      <w:r>
        <w:rPr>
          <w:rStyle w:val="OperatorTok"/>
        </w:rPr>
        <w:t xml:space="preserve">,</w:t>
      </w:r>
      <w:r>
        <w:rPr>
          <w:rStyle w:val="NormalTok"/>
        </w:rPr>
        <w:t xml:space="preserve"> </w:t>
      </w:r>
      <w:r>
        <w:rPr>
          <w:rStyle w:val="StringTok"/>
        </w:rPr>
        <w:t xml:space="preserve">"AzureActivity"</w:t>
      </w:r>
      <w:r>
        <w:rPr>
          <w:rStyle w:val="OperatorTok"/>
        </w:rPr>
        <w:t xml:space="preserve">,</w:t>
      </w:r>
      <w:r>
        <w:rPr>
          <w:rStyle w:val="NormalTok"/>
        </w:rPr>
        <w:t xml:space="preserve"> </w:t>
      </w:r>
      <w:r>
        <w:rPr>
          <w:rStyle w:val="StringTok"/>
        </w:rPr>
        <w:t xml:space="preserve">"SecurityEvent"</w:t>
      </w:r>
      <w:r>
        <w:rPr>
          <w:rStyle w:val="OperatorTok"/>
        </w:rPr>
        <w:t xml:space="preserve">,</w:t>
      </w:r>
      <w:r>
        <w:rPr>
          <w:rStyle w:val="NormalTok"/>
        </w:rPr>
        <w:t xml:space="preserve"> </w:t>
      </w:r>
      <w:r>
        <w:rPr>
          <w:rStyle w:val="StringTok"/>
        </w:rPr>
        <w:t xml:space="preserve">"SigninLogs"</w:t>
      </w:r>
      <w:r>
        <w:rPr>
          <w:rStyle w:val="OperatorTok"/>
        </w:rPr>
        <w:t xml:space="preserve">)</w:t>
      </w:r>
    </w:p>
    <w:bookmarkEnd w:id="205"/>
    <w:bookmarkStart w:id="206" w:name="Xc63399a586108440bf2b695c2ae069d1212706e"/>
    <w:p>
      <w:pPr>
        <w:pStyle w:val="Heading2"/>
      </w:pPr>
      <w:r>
        <w:t xml:space="preserve">Defender for Identity Integration During AD Transition</w:t>
      </w:r>
    </w:p>
    <w:p>
      <w:pPr>
        <w:pStyle w:val="FirstParagraph"/>
      </w:pPr>
      <w:r>
        <w:t xml:space="preserve">For agencies still operating on-premises Active Directory during the Entra ID migration — the hybrid state documented in Vol II Book 01 (SQL Server Authentication Modernization) of this series — Microsoft Defender for Identity (MDI) provides lateral movement detection, pass-the-hash/pass-the-ticket detection, and Golden Ticket attack detection against the on-premises domain controller. MDI alerts flow into Sentinel through the Microsoft 365 Defender connector and are automatically incorporated into the same entity pages and UEBA scores as Entra ID signals.</w:t>
      </w:r>
    </w:p>
    <w:p>
      <w:pPr>
        <w:pStyle w:val="BodyText"/>
      </w:pPr>
      <w:r>
        <w:t xml:space="preserve">During the hybrid transition period, MDI is required — Sentinel UEBA cannot see on-premises Kerberos/NTLM events without it. After the AD estate is fully decommissioned (Phase E of the migration), MDI can be removed and UEBA relies entirely on the Entra ID and Defender for Endpoint signals.</w:t>
      </w:r>
    </w:p>
    <w:bookmarkEnd w:id="206"/>
    <w:bookmarkEnd w:id="207"/>
    <w:bookmarkStart w:id="213" w:name="incident-automation-and-soc-playbooks"/>
    <w:p>
      <w:pPr>
        <w:pStyle w:val="Heading1"/>
      </w:pPr>
      <w:r>
        <w:t xml:space="preserve">Incident Automation and SOC Playbooks</w:t>
      </w:r>
    </w:p>
    <w:bookmarkStart w:id="208" w:name="automation-architecture"/>
    <w:p>
      <w:pPr>
        <w:pStyle w:val="Heading2"/>
      </w:pPr>
      <w:r>
        <w:t xml:space="preserve">Automation Architecture</w:t>
      </w:r>
    </w:p>
    <w:p>
      <w:pPr>
        <w:pStyle w:val="FirstParagraph"/>
      </w:pPr>
      <w:r>
        <w:t xml:space="preserve">Microsoft Sentinel automation operates at two levels: automation rules and Logic App playbooks. Automation rules are Sentinel-native constructs that run instantly on incident creation or update with no external dependency — they can assign incidents, change severity, suppress known false positives, and trigger playbooks. Logic App playbooks execute external actions — querying Entra ID, calling the Defender API to isolate a device, posting to Teams, creating a ServiceNow ticket — and run asynchronously after the automation rule fires.</w:t>
      </w:r>
    </w:p>
    <w:p>
      <w:pPr>
        <w:pStyle w:val="BodyText"/>
      </w:pPr>
      <w:r>
        <w:t xml:space="preserve">The automation sequence for a high-confidence incident is:</w:t>
      </w:r>
    </w:p>
    <w:p>
      <w:pPr>
        <w:pStyle w:val="Compact"/>
        <w:numPr>
          <w:ilvl w:val="0"/>
          <w:numId w:val="1016"/>
        </w:numPr>
      </w:pPr>
      <w:r>
        <w:t xml:space="preserve">Analytics rule fires → Sentinel alert created.</w:t>
      </w:r>
    </w:p>
    <w:p>
      <w:pPr>
        <w:pStyle w:val="Compact"/>
        <w:numPr>
          <w:ilvl w:val="0"/>
          <w:numId w:val="1016"/>
        </w:numPr>
      </w:pPr>
      <w:r>
        <w:t xml:space="preserve">Automation rule evaluates alert → creates incident if configured threshold met, assigns severity, runs any suppression logic.</w:t>
      </w:r>
    </w:p>
    <w:p>
      <w:pPr>
        <w:pStyle w:val="Compact"/>
        <w:numPr>
          <w:ilvl w:val="0"/>
          <w:numId w:val="1016"/>
        </w:numPr>
      </w:pPr>
      <w:r>
        <w:t xml:space="preserve">Automation rule triggers playbook(s) based on incident properties.</w:t>
      </w:r>
    </w:p>
    <w:p>
      <w:pPr>
        <w:pStyle w:val="Compact"/>
        <w:numPr>
          <w:ilvl w:val="0"/>
          <w:numId w:val="1016"/>
        </w:numPr>
      </w:pPr>
      <w:r>
        <w:t xml:space="preserve">Playbook 1 (enrichment) queries Entra ID and Defender APIs → appends context to incident comments.</w:t>
      </w:r>
    </w:p>
    <w:p>
      <w:pPr>
        <w:pStyle w:val="Compact"/>
        <w:numPr>
          <w:ilvl w:val="0"/>
          <w:numId w:val="1016"/>
        </w:numPr>
      </w:pPr>
      <w:r>
        <w:t xml:space="preserve">Playbook 2 (notification) creates ServiceNow ticket and posts to Teams SOC channel.</w:t>
      </w:r>
    </w:p>
    <w:p>
      <w:pPr>
        <w:pStyle w:val="Compact"/>
        <w:numPr>
          <w:ilvl w:val="0"/>
          <w:numId w:val="1016"/>
        </w:numPr>
      </w:pPr>
      <w:r>
        <w:t xml:space="preserve">Playbook 3 (response, for high-severity confirmed detections) executes containment action.</w:t>
      </w:r>
    </w:p>
    <w:p>
      <w:pPr>
        <w:pStyle w:val="Compact"/>
        <w:numPr>
          <w:ilvl w:val="0"/>
          <w:numId w:val="1016"/>
        </w:numPr>
      </w:pPr>
      <w:r>
        <w:t xml:space="preserve">SOC analyst opens enriched incident, reviews automated context, makes triage decision.</w:t>
      </w:r>
    </w:p>
    <w:bookmarkEnd w:id="208"/>
    <w:bookmarkStart w:id="209" w:name="Xe7dcf2159ad25dd1596ba53ae8e7ab21e42218c"/>
    <w:p>
      <w:pPr>
        <w:pStyle w:val="Heading2"/>
      </w:pPr>
      <w:r>
        <w:t xml:space="preserve">Playbook: Auto-Suppress Known False Positives</w:t>
      </w:r>
    </w:p>
    <w:p>
      <w:pPr>
        <w:pStyle w:val="FirstParagraph"/>
      </w:pPr>
      <w:r>
        <w:t xml:space="preserve">InfoBlox health check processes resolve the same monitoring FQDNs at regular intervals, which can trigger the DNS C2 beacon detection rule. Define a Sentinel watchlist of known infrastructure source IPs (monitoring servers, load balancer health check probes, DNS relay servers) and create an automation rule that closes incidents where the source IP matches any watchlist entry with the classification</w:t>
      </w:r>
      <w:r>
        <w:t xml:space="preserve"> </w:t>
      </w:r>
      <w:r>
        <w:t xml:space="preserve">“BenignPositive — Correct Alert, No Action Required.”</w:t>
      </w:r>
    </w:p>
    <w:p>
      <w:pPr>
        <w:pStyle w:val="SourceCode"/>
      </w:pP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"AutomationRule"</w:t>
      </w:r>
      <w:r>
        <w:rPr>
          <w:rStyle w:val="FunctionTok"/>
        </w:rPr>
        <w:t xml:space="preserve">,</w:t>
      </w:r>
      <w:r>
        <w:br/>
      </w:r>
      <w:r>
        <w:rPr>
          <w:rStyle w:val="NormalTok"/>
        </w:rPr>
        <w:t xml:space="preserve">  </w:t>
      </w:r>
      <w:r>
        <w:rPr>
          <w:rStyle w:val="DataTypeTok"/>
        </w:rPr>
        <w:t xml:space="preserve">"properties"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"Auto-suppress InfoBlox health check false positives"</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"triggeringLogic"</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"triggersOn"</w:t>
      </w:r>
      <w:r>
        <w:rPr>
          <w:rStyle w:val="FunctionTok"/>
        </w:rPr>
        <w:t xml:space="preserve">:</w:t>
      </w:r>
      <w:r>
        <w:rPr>
          <w:rStyle w:val="NormalTok"/>
        </w:rPr>
        <w:t xml:space="preserve"> </w:t>
      </w:r>
      <w:r>
        <w:rPr>
          <w:rStyle w:val="StringTok"/>
        </w:rPr>
        <w:t xml:space="preserve">"Incidents"</w:t>
      </w:r>
      <w:r>
        <w:rPr>
          <w:rStyle w:val="FunctionTok"/>
        </w:rPr>
        <w:t xml:space="preserve">,</w:t>
      </w:r>
      <w:r>
        <w:br/>
      </w:r>
      <w:r>
        <w:rPr>
          <w:rStyle w:val="NormalTok"/>
        </w:rPr>
        <w:t xml:space="preserve">      </w:t>
      </w:r>
      <w:r>
        <w:rPr>
          <w:rStyle w:val="DataTypeTok"/>
        </w:rPr>
        <w:t xml:space="preserve">"triggersWhen"</w:t>
      </w:r>
      <w:r>
        <w:rPr>
          <w:rStyle w:val="FunctionTok"/>
        </w:rPr>
        <w:t xml:space="preserve">:</w:t>
      </w:r>
      <w:r>
        <w:rPr>
          <w:rStyle w:val="NormalTok"/>
        </w:rPr>
        <w:t xml:space="preserve"> </w:t>
      </w:r>
      <w:r>
        <w:rPr>
          <w:rStyle w:val="StringTok"/>
        </w:rPr>
        <w:t xml:space="preserve">"Created"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"IncidentRelatedAnalyticRuleNames"</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"DNS C2 Beacon Detection"</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"IncidentProviderName"</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"Microsoft Sentinel"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"actions"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"actionType"</w:t>
      </w:r>
      <w:r>
        <w:rPr>
          <w:rStyle w:val="FunctionTok"/>
        </w:rPr>
        <w:t xml:space="preserve">:</w:t>
      </w:r>
      <w:r>
        <w:rPr>
          <w:rStyle w:val="NormalTok"/>
        </w:rPr>
        <w:t xml:space="preserve"> </w:t>
      </w:r>
      <w:r>
        <w:rPr>
          <w:rStyle w:val="StringTok"/>
        </w:rPr>
        <w:t xml:space="preserve">"RunPlaybook"</w:t>
      </w:r>
      <w:r>
        <w:rPr>
          <w:rStyle w:val="FunctionTok"/>
        </w:rPr>
        <w:t xml:space="preserve">,</w:t>
      </w:r>
      <w:r>
        <w:br/>
      </w:r>
      <w:r>
        <w:rPr>
          <w:rStyle w:val="NormalTok"/>
        </w:rPr>
        <w:t xml:space="preserve">        </w:t>
      </w:r>
      <w:r>
        <w:rPr>
          <w:rStyle w:val="DataTypeTok"/>
        </w:rPr>
        <w:t xml:space="preserve">"actionConfiguration"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"logicAppResourceId"</w:t>
      </w:r>
      <w:r>
        <w:rPr>
          <w:rStyle w:val="FunctionTok"/>
        </w:rPr>
        <w:t xml:space="preserve">:</w:t>
      </w:r>
      <w:r>
        <w:rPr>
          <w:rStyle w:val="NormalTok"/>
        </w:rPr>
        <w:t xml:space="preserve"> </w:t>
      </w:r>
      <w:r>
        <w:rPr>
          <w:rStyle w:val="StringTok"/>
        </w:rPr>
        <w:t xml:space="preserve">"/subscriptions/&lt;sub&gt;/resourceGroups/&lt;rg&gt;/providers/Microsoft.Logic/workflows/CheckSourceIpWatchlist"</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209"/>
    <w:bookmarkStart w:id="210" w:name="X34a48e1707f7f5290daa1c620186e84ce996566"/>
    <w:p>
      <w:pPr>
        <w:pStyle w:val="Heading2"/>
      </w:pPr>
      <w:r>
        <w:t xml:space="preserve">Playbook: Auto-Enrich Incidents with User and Device Context</w:t>
      </w:r>
    </w:p>
    <w:p>
      <w:pPr>
        <w:pStyle w:val="FirstParagraph"/>
      </w:pPr>
      <w:r>
        <w:t xml:space="preserve">Every Sentinel incident involving a user principal should be automatically enriched with: (a) the user’s current Entra ID risk level from Identity Protection, (b) the user’s PIM role eligibility list, (c) the device’s Defender compliance posture if the sign-in came from a managed device, and (d) the last 5 sign-ins from the user’s entity history. This enrichment runs as a Logic App triggered by any incident creation, appending context as incident comments before the SOC analyst opens the ticket.</w:t>
      </w:r>
    </w:p>
    <w:p>
      <w:pPr>
        <w:pStyle w:val="BodyText"/>
      </w:pPr>
      <w:r>
        <w:t xml:space="preserve">The Logic App uses the Microsoft Sentinel and Microsoft Entra ID connectors available in Logic Apps. Key actions in sequence:</w:t>
      </w:r>
    </w:p>
    <w:p>
      <w:pPr>
        <w:pStyle w:val="Compact"/>
        <w:numPr>
          <w:ilvl w:val="0"/>
          <w:numId w:val="1017"/>
        </w:numPr>
      </w:pPr>
      <w:r>
        <w:t xml:space="preserve">Trigger:</w:t>
      </w:r>
      <w:r>
        <w:t xml:space="preserve"> </w:t>
      </w:r>
      <w:r>
        <w:t xml:space="preserve">“When a Microsoft Sentinel incident is created.”</w:t>
      </w:r>
    </w:p>
    <w:p>
      <w:pPr>
        <w:pStyle w:val="Compact"/>
        <w:numPr>
          <w:ilvl w:val="0"/>
          <w:numId w:val="1017"/>
        </w:numPr>
      </w:pPr>
      <w:r>
        <w:t xml:space="preserve">Parse the incident entities to extract UserPrincipalName and DeviceId.</w:t>
      </w:r>
    </w:p>
    <w:p>
      <w:pPr>
        <w:pStyle w:val="Compact"/>
        <w:numPr>
          <w:ilvl w:val="0"/>
          <w:numId w:val="1017"/>
        </w:numPr>
      </w:pPr>
      <w:r>
        <w:t xml:space="preserve">HTTP action: GET</w:t>
      </w:r>
      <w:r>
        <w:t xml:space="preserve"> </w:t>
      </w:r>
      <w:r>
        <w:rPr>
          <w:rStyle w:val="VerbatimChar"/>
        </w:rPr>
        <w:t xml:space="preserve">https://graph.microsoft.com/v1.0/identityProtection/riskyUsers?$filter=userPrincipalName eq '&lt;UPN&gt;'</w:t>
      </w:r>
      <w:r>
        <w:t xml:space="preserve"> </w:t>
      </w:r>
      <w:r>
        <w:t xml:space="preserve">with Managed Identity credential.</w:t>
      </w:r>
    </w:p>
    <w:p>
      <w:pPr>
        <w:pStyle w:val="Compact"/>
        <w:numPr>
          <w:ilvl w:val="0"/>
          <w:numId w:val="1017"/>
        </w:numPr>
      </w:pPr>
      <w:r>
        <w:t xml:space="preserve">HTTP action: GET</w:t>
      </w:r>
      <w:r>
        <w:t xml:space="preserve"> </w:t>
      </w:r>
      <w:r>
        <w:rPr>
          <w:rStyle w:val="VerbatimChar"/>
        </w:rPr>
        <w:t xml:space="preserve">https://graph.microsoft.com/v1.0/deviceManagement/managedDevices?$filter=azureADDeviceId eq '&lt;DeviceId&gt;'</w:t>
      </w:r>
      <w:r>
        <w:t xml:space="preserve"> </w:t>
      </w:r>
      <w:r>
        <w:t xml:space="preserve">for device compliance state.</w:t>
      </w:r>
    </w:p>
    <w:p>
      <w:pPr>
        <w:pStyle w:val="Compact"/>
        <w:numPr>
          <w:ilvl w:val="0"/>
          <w:numId w:val="1017"/>
        </w:numPr>
      </w:pPr>
      <w:r>
        <w:t xml:space="preserve">Sentinel action: Add comment to incident with formatted enrichment output.</w:t>
      </w:r>
    </w:p>
    <w:p>
      <w:pPr>
        <w:pStyle w:val="Compact"/>
        <w:numPr>
          <w:ilvl w:val="0"/>
          <w:numId w:val="1017"/>
        </w:numPr>
      </w:pPr>
      <w:r>
        <w:t xml:space="preserve">Sentinel action: Tag incident with</w:t>
      </w:r>
      <w:r>
        <w:t xml:space="preserve"> </w:t>
      </w:r>
      <w:r>
        <w:t xml:space="preserve">“Enriched”</w:t>
      </w:r>
      <w:r>
        <w:t xml:space="preserve"> </w:t>
      </w:r>
      <w:r>
        <w:t xml:space="preserve">label.</w:t>
      </w:r>
    </w:p>
    <w:bookmarkEnd w:id="210"/>
    <w:bookmarkStart w:id="211" w:name="Xdc7e9cad64c5038f829fcc422b41bc8f8f01969"/>
    <w:p>
      <w:pPr>
        <w:pStyle w:val="Heading2"/>
      </w:pPr>
      <w:r>
        <w:t xml:space="preserve">Playbook: Auto-Isolate Device on Confirmed KEV Exploitation</w:t>
      </w:r>
    </w:p>
    <w:p>
      <w:pPr>
        <w:pStyle w:val="FirstParagraph"/>
      </w:pPr>
      <w:r>
        <w:t xml:space="preserve">When the KEV CVE Actively Exploited rule (Section 4, Rule 9) fires AND Defender for Endpoint confirms active exploitation (not just vulnerability presence), trigger automated device network isolation through the Defender for Endpoint API. Network isolation removes the device from all network access except the Defender management channel, preventing lateral movement while preserving forensic state.</w:t>
      </w:r>
    </w:p>
    <w:p>
      <w:pPr>
        <w:pStyle w:val="SourceCode"/>
      </w:pPr>
      <w:r>
        <w:rPr>
          <w:rStyle w:val="CommentTok"/>
        </w:rPr>
        <w:t xml:space="preserve"># Called from Logic App — isolate a Defender for Endpoint device</w:t>
      </w:r>
      <w:r>
        <w:br/>
      </w:r>
      <w:r>
        <w:rPr>
          <w:rStyle w:val="CommentTok"/>
        </w:rPr>
        <w:t xml:space="preserve"># Requires Defender for Endpoint API application registration with</w:t>
      </w:r>
      <w:r>
        <w:br/>
      </w:r>
      <w:r>
        <w:rPr>
          <w:rStyle w:val="CommentTok"/>
        </w:rPr>
        <w:t xml:space="preserve"># Machine.Isolate permission</w:t>
      </w:r>
      <w:r>
        <w:br/>
      </w:r>
      <w:r>
        <w:rPr>
          <w:rStyle w:val="KeywordTok"/>
        </w:rPr>
        <w:t xml:space="preserve">param</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$DeviceId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$SentinelIncidentId</w:t>
      </w:r>
      <w:r>
        <w:br/>
      </w:r>
      <w:r>
        <w:rPr>
          <w:rStyle w:val="OperatorTok"/>
        </w:rPr>
        <w:t xml:space="preserve">)</w:t>
      </w:r>
      <w:r>
        <w:br/>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br/>
      </w:r>
      <w:r>
        <w:rPr>
          <w:rStyle w:val="VariableTok"/>
        </w:rPr>
        <w:t xml:space="preserve">$IsolateBody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Comment </w:t>
      </w:r>
      <w:r>
        <w:rPr>
          <w:rStyle w:val="OperatorTok"/>
        </w:rPr>
        <w:t xml:space="preserve">=</w:t>
      </w:r>
      <w:r>
        <w:rPr>
          <w:rStyle w:val="NormalTok"/>
        </w:rPr>
        <w:t xml:space="preserve"> </w:t>
      </w:r>
      <w:r>
        <w:rPr>
          <w:rStyle w:val="StringTok"/>
        </w:rPr>
        <w:t xml:space="preserve">"Automated isolation: KEV CVE active exploitation detected. Sentinel Incident </w:t>
      </w:r>
      <w:r>
        <w:rPr>
          <w:rStyle w:val="VariableTok"/>
        </w:rPr>
        <w:t xml:space="preserve">$SentinelIncidentId</w:t>
      </w:r>
      <w:r>
        <w:rPr>
          <w:rStyle w:val="StringTok"/>
        </w:rPr>
        <w:t xml:space="preserve">. Awaiting SOC review."</w:t>
      </w:r>
      <w:r>
        <w:br/>
      </w:r>
      <w:r>
        <w:rPr>
          <w:rStyle w:val="NormalTok"/>
        </w:rPr>
        <w:t xml:space="preserve">    IsolationType </w:t>
      </w:r>
      <w:r>
        <w:rPr>
          <w:rStyle w:val="OperatorTok"/>
        </w:rPr>
        <w:t xml:space="preserve">=</w:t>
      </w:r>
      <w:r>
        <w:rPr>
          <w:rStyle w:val="NormalTok"/>
        </w:rPr>
        <w:t xml:space="preserve"> </w:t>
      </w:r>
      <w:r>
        <w:rPr>
          <w:rStyle w:val="StringTok"/>
        </w:rPr>
        <w:t xml:space="preserve">"Full"</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br/>
      </w:r>
      <w:r>
        <w:br/>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"https://api.securitycenter.microsoft.com/api/machines/</w:t>
      </w:r>
      <w:r>
        <w:rPr>
          <w:rStyle w:val="VariableTok"/>
        </w:rPr>
        <w:t xml:space="preserve">$DeviceId</w:t>
      </w:r>
      <w:r>
        <w:rPr>
          <w:rStyle w:val="StringTok"/>
        </w:rPr>
        <w:t xml:space="preserve">/isolate"</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$IsolateBody</w:t>
      </w:r>
    </w:p>
    <w:p>
      <w:pPr>
        <w:pStyle w:val="FirstParagraph"/>
      </w:pPr>
      <w:r>
        <w:rPr>
          <w:b/>
          <w:bCs/>
        </w:rPr>
        <w:t xml:space="preserve">Automated Isolation — Authorization Gate Required</w:t>
      </w:r>
      <w:r>
        <w:t xml:space="preserve"> </w:t>
      </w:r>
      <w:r>
        <w:t xml:space="preserve">— Automated device isolation must be gated on a confirmation signal before execution in production. Do not trigger isolation solely on a vulnerability scan finding — require the Defender for Endpoint alert EventType to equal</w:t>
      </w:r>
      <w:r>
        <w:t xml:space="preserve"> </w:t>
      </w:r>
      <w:r>
        <w:t xml:space="preserve">“Exploit”</w:t>
      </w:r>
      <w:r>
        <w:t xml:space="preserve"> </w:t>
      </w:r>
      <w:r>
        <w:t xml:space="preserve">(active exploitation confirmed, not merely vulnerable). False-positive isolation of a production SQL Server causes an outage. Require a Logic App approval step for all non-workstation device classes before the isolation API call executes.</w:t>
      </w:r>
    </w:p>
    <w:bookmarkEnd w:id="211"/>
    <w:bookmarkStart w:id="212" w:name="X39207b1ae9c663becaf4f93712bb81dfbfe7c5a"/>
    <w:p>
      <w:pPr>
        <w:pStyle w:val="Heading2"/>
      </w:pPr>
      <w:r>
        <w:t xml:space="preserve">Playbook: Auto-Disable Account on Confirmed Impossible Travel + Risky Sign-In</w:t>
      </w:r>
    </w:p>
    <w:p>
      <w:pPr>
        <w:pStyle w:val="FirstParagraph"/>
      </w:pPr>
      <w:r>
        <w:t xml:space="preserve">When two signals fire simultaneously for the same user — the Impossible Travel rule (Section 4, Rule 2) AND an Entra ID Identity Protection risk event of High severity — trigger an automated account disable. This compound condition is expected to have a low false positive rate — legitimate impossible travel that also triggers Identity Protection high risk should be rare — and a short attack window. During an initial tuning period, gate the disable on a Logic App approval step and measure the observed false-positive rate on this environment’s own data before promoting it to fully automated action, consistent with the SOC-review posture the KEV auto-isolate playbook keeps for its analogous action.</w:t>
      </w:r>
    </w:p>
    <w:p>
      <w:pPr>
        <w:pStyle w:val="BodyText"/>
      </w:pPr>
      <w:r>
        <w:t xml:space="preserve">The Logic App action calls the Microsoft Graph API:</w:t>
      </w:r>
    </w:p>
    <w:p>
      <w:pPr>
        <w:pStyle w:val="SourceCode"/>
      </w:pPr>
      <w:r>
        <w:rPr>
          <w:rStyle w:val="VerbatimChar"/>
        </w:rPr>
        <w:t xml:space="preserve">PATCH https://graph.microsoft.com/v1.0/users/&lt;userId&gt;</w:t>
      </w:r>
      <w:r>
        <w:br/>
      </w:r>
      <w:r>
        <w:rPr>
          <w:rStyle w:val="VerbatimChar"/>
        </w:rPr>
        <w:t xml:space="preserve">{</w:t>
      </w:r>
      <w:r>
        <w:br/>
      </w:r>
      <w:r>
        <w:rPr>
          <w:rStyle w:val="VerbatimChar"/>
        </w:rPr>
        <w:t xml:space="preserve">  "accountEnabled": false</w:t>
      </w:r>
      <w:r>
        <w:br/>
      </w:r>
      <w:r>
        <w:rPr>
          <w:rStyle w:val="VerbatimChar"/>
        </w:rPr>
        <w:t xml:space="preserve">}</w:t>
      </w:r>
    </w:p>
    <w:p>
      <w:pPr>
        <w:pStyle w:val="FirstParagraph"/>
      </w:pPr>
      <w:r>
        <w:t xml:space="preserve">The playbook appends a comment to the Sentinel incident documenting the action timestamp, the trigger conditions, and the steps required for re-enablement (manager approval + password reset + MFA re-registration). The account remains disabled until a SOC analyst or the Identity team re-enables it after investigation.</w:t>
      </w:r>
    </w:p>
    <w:bookmarkEnd w:id="212"/>
    <w:bookmarkEnd w:id="213"/>
    <w:bookmarkStart w:id="216" w:name="incident-response-plan-structure-ir-8"/>
    <w:p>
      <w:pPr>
        <w:pStyle w:val="Heading1"/>
      </w:pPr>
      <w:r>
        <w:t xml:space="preserve">Incident Response Plan Structure (IR-8)</w:t>
      </w:r>
    </w:p>
    <w:bookmarkStart w:id="214" w:name="nist-sp-800-61-lifecycle-mapping"/>
    <w:p>
      <w:pPr>
        <w:pStyle w:val="Heading2"/>
      </w:pPr>
      <w:r>
        <w:t xml:space="preserve">NIST SP 800-61 Lifecycle Mapping</w:t>
      </w:r>
    </w:p>
    <w:p>
      <w:pPr>
        <w:pStyle w:val="FirstParagraph"/>
      </w:pPr>
      <w:r>
        <w:t xml:space="preserve">NIST SP 800-61 Rev 3 (April 2025) superseded and withdrew Rev 2, replacing the four-phase lifecycle with an incident-response model aligned to the CSF 2.0 functions. This IR plan retains the familiar four Rev 2 phase names — Preparation, Detection and Analysis, Containment/Eradication/Recovery, and Post-Incident Activity — as an internal operating convention, each mapping onto the Rev 3 / CSF 2.0 model. Microsoft Sentinel’s incident workflow maps directly to this lifecycle:</w:t>
      </w:r>
    </w:p>
    <w:p>
      <w:pPr>
        <w:pStyle w:val="TableCaption"/>
      </w:pPr>
      <w:r>
        <w:t xml:space="preserve">NIST SP 800-61 phase to Sentinel incident workflow mapping</w:t>
      </w:r>
    </w:p>
    <w:tbl>
      <w:tblPr>
        <w:tblStyle w:val="Table"/>
        <w:tblW w:type="pct" w:w="5000"/>
        <w:tblLayout w:type="fixed"/>
        <w:tblLook w:firstRow="1" w:lastRow="0" w:firstColumn="0" w:lastColumn="0" w:noHBand="0" w:noVBand="0" w:val="0020"/>
        <w:tblCaption w:val="NIST SP 800-61 phase to Sentinel incident workflow mapping"/>
      </w:tblPr>
      <w:tblGrid>
        <w:gridCol w:w="2640"/>
        <w:gridCol w:w="2640"/>
        <w:gridCol w:w="2640"/>
      </w:tblGrid>
      <w:tr>
        <w:trPr>
          <w:tblHeader w:val="on"/>
        </w:trPr>
        <w:tc>
          <w:tcPr/>
          <w:p>
            <w:pPr>
              <w:pStyle w:val="Compact"/>
            </w:pPr>
            <w:r>
              <w:t xml:space="preserve">NIST 800-61 Phase</w:t>
            </w:r>
          </w:p>
        </w:tc>
        <w:tc>
          <w:tcPr/>
          <w:p>
            <w:pPr>
              <w:pStyle w:val="Compact"/>
            </w:pPr>
            <w:r>
              <w:t xml:space="preserve">Sentinel Mechanism</w:t>
            </w:r>
          </w:p>
        </w:tc>
        <w:tc>
          <w:tcPr/>
          <w:p>
            <w:pPr>
              <w:pStyle w:val="Compact"/>
            </w:pPr>
            <w:r>
              <w:t xml:space="preserve">Required Documentation</w:t>
            </w:r>
          </w:p>
        </w:tc>
      </w:tr>
      <w:tr>
        <w:tc>
          <w:tcPr/>
          <w:p>
            <w:pPr>
              <w:pStyle w:val="Compact"/>
            </w:pPr>
            <w:r>
              <w:t xml:space="preserve">Preparation</w:t>
            </w:r>
          </w:p>
        </w:tc>
        <w:tc>
          <w:tcPr/>
          <w:p>
            <w:pPr>
              <w:pStyle w:val="Compact"/>
            </w:pPr>
            <w:r>
              <w:t xml:space="preserve">Detection rules deployed; playbooks configured; contact lists in Sentinel watchlists</w:t>
            </w:r>
          </w:p>
        </w:tc>
        <w:tc>
          <w:tcPr/>
          <w:p>
            <w:pPr>
              <w:pStyle w:val="Compact"/>
            </w:pPr>
            <w:r>
              <w:t xml:space="preserve">IR plan document; contact list; training records</w:t>
            </w:r>
          </w:p>
        </w:tc>
      </w:tr>
      <w:tr>
        <w:tc>
          <w:tcPr/>
          <w:p>
            <w:pPr>
              <w:pStyle w:val="Compact"/>
            </w:pPr>
            <w:r>
              <w:t xml:space="preserve">Detection and Analysis</w:t>
            </w:r>
          </w:p>
        </w:tc>
        <w:tc>
          <w:tcPr/>
          <w:p>
            <w:pPr>
              <w:pStyle w:val="Compact"/>
            </w:pPr>
            <w:r>
              <w:t xml:space="preserve">Analytics rule fires; UEBA scores escalate; incident created; enrichment playbook appends context</w:t>
            </w:r>
          </w:p>
        </w:tc>
        <w:tc>
          <w:tcPr/>
          <w:p>
            <w:pPr>
              <w:pStyle w:val="Compact"/>
            </w:pPr>
            <w:r>
              <w:t xml:space="preserve">Incident record with timeline; evidence log</w:t>
            </w:r>
          </w:p>
        </w:tc>
      </w:tr>
      <w:tr>
        <w:tc>
          <w:tcPr/>
          <w:p>
            <w:pPr>
              <w:pStyle w:val="Compact"/>
            </w:pPr>
            <w:r>
              <w:t xml:space="preserve">Containment</w:t>
            </w:r>
          </w:p>
        </w:tc>
        <w:tc>
          <w:tcPr/>
          <w:p>
            <w:pPr>
              <w:pStyle w:val="Compact"/>
            </w:pPr>
            <w:r>
              <w:t xml:space="preserve">Automated isolation or account disable playbook; manual containment action documented in incident</w:t>
            </w:r>
          </w:p>
        </w:tc>
        <w:tc>
          <w:tcPr/>
          <w:p>
            <w:pPr>
              <w:pStyle w:val="Compact"/>
            </w:pPr>
            <w:r>
              <w:t xml:space="preserve">Containment action record with timestamps</w:t>
            </w:r>
          </w:p>
        </w:tc>
      </w:tr>
      <w:tr>
        <w:tc>
          <w:tcPr/>
          <w:p>
            <w:pPr>
              <w:pStyle w:val="Compact"/>
            </w:pPr>
            <w:r>
              <w:t xml:space="preserve">Eradication</w:t>
            </w:r>
          </w:p>
        </w:tc>
        <w:tc>
          <w:tcPr/>
          <w:p>
            <w:pPr>
              <w:pStyle w:val="Compact"/>
            </w:pPr>
            <w:r>
              <w:t xml:space="preserve">Patch applied; credential reset; policy corrected; re-scan confirms remediation</w:t>
            </w:r>
          </w:p>
        </w:tc>
        <w:tc>
          <w:tcPr/>
          <w:p>
            <w:pPr>
              <w:pStyle w:val="Compact"/>
            </w:pPr>
            <w:r>
              <w:t xml:space="preserve">Eradication record; verification scan output</w:t>
            </w:r>
          </w:p>
        </w:tc>
      </w:tr>
      <w:tr>
        <w:tc>
          <w:tcPr/>
          <w:p>
            <w:pPr>
              <w:pStyle w:val="Compact"/>
            </w:pPr>
            <w:r>
              <w:t xml:space="preserve">Recovery</w:t>
            </w:r>
          </w:p>
        </w:tc>
        <w:tc>
          <w:tcPr/>
          <w:p>
            <w:pPr>
              <w:pStyle w:val="Compact"/>
            </w:pPr>
            <w:r>
              <w:t xml:space="preserve">System returned to production; monitoring extended; SOC on elevated watch for 72 hours</w:t>
            </w:r>
          </w:p>
        </w:tc>
        <w:tc>
          <w:tcPr/>
          <w:p>
            <w:pPr>
              <w:pStyle w:val="Compact"/>
            </w:pPr>
            <w:r>
              <w:t xml:space="preserve">Recovery action record; post-isolation validation</w:t>
            </w:r>
          </w:p>
        </w:tc>
      </w:tr>
      <w:tr>
        <w:tc>
          <w:tcPr/>
          <w:p>
            <w:pPr>
              <w:pStyle w:val="Compact"/>
            </w:pPr>
            <w:r>
              <w:t xml:space="preserve">Post-Incident Activity</w:t>
            </w:r>
          </w:p>
        </w:tc>
        <w:tc>
          <w:tcPr/>
          <w:p>
            <w:pPr>
              <w:pStyle w:val="Compact"/>
            </w:pPr>
            <w:r>
              <w:t xml:space="preserve">Lessons learned meeting; IR plan updated; detection rule tuned if false positive</w:t>
            </w:r>
          </w:p>
        </w:tc>
        <w:tc>
          <w:tcPr/>
          <w:p>
            <w:pPr>
              <w:pStyle w:val="Compact"/>
            </w:pPr>
            <w:r>
              <w:t xml:space="preserve">Lessons learned document; tuning log entry</w:t>
            </w:r>
          </w:p>
        </w:tc>
      </w:tr>
    </w:tbl>
    <w:bookmarkEnd w:id="214"/>
    <w:bookmarkStart w:id="215" w:name="Xe7ce09698b1eef3acaf6b1c3a108b253e63fee6"/>
    <w:p>
      <w:pPr>
        <w:pStyle w:val="Heading2"/>
      </w:pPr>
      <w:r>
        <w:t xml:space="preserve">The Seven IR Artifacts FedRAMP Assessors Require</w:t>
      </w:r>
    </w:p>
    <w:p>
      <w:pPr>
        <w:pStyle w:val="FirstParagraph"/>
      </w:pPr>
      <w:r>
        <w:t xml:space="preserve">FedRAMP assessors evaluating IR-8 request a specific set of documented artifacts. The presence of these documents is separately evaluated from the presence of the SIEM system — an agency can have a fully deployed Sentinel environment and still fail IR-8 if the documentation artifacts are missing.</w:t>
      </w:r>
    </w:p>
    <w:p>
      <w:pPr>
        <w:pStyle w:val="BodyText"/>
      </w:pPr>
      <w:r>
        <w:rPr>
          <w:b/>
          <w:bCs/>
        </w:rPr>
        <w:t xml:space="preserve">Artifact 1 — IR Plan Document:</w:t>
      </w:r>
      <w:r>
        <w:t xml:space="preserve"> </w:t>
      </w:r>
      <w:r>
        <w:t xml:space="preserve">A written incident response plan covering scope, roles and responsibilities, detection criteria, escalation procedures, communication protocol (including CISA reporting obligations for significant incidents), evidence preservation requirements, and recovery objectives. This is the IR-8 control document. It must be reviewed and updated annually. Minimum length is typically 20–40 pages for a federal moderate system; assessors will review for completeness against the NIST 800-61 lifecycle sections.</w:t>
      </w:r>
    </w:p>
    <w:p>
      <w:pPr>
        <w:pStyle w:val="BodyText"/>
      </w:pPr>
      <w:r>
        <w:rPr>
          <w:b/>
          <w:bCs/>
        </w:rPr>
        <w:t xml:space="preserve">Artifact 2 — Incident Response Contact List:</w:t>
      </w:r>
      <w:r>
        <w:t xml:space="preserve"> </w:t>
      </w:r>
      <w:r>
        <w:t xml:space="preserve">A current (updated quarterly minimum) contact list including: internal SOC escalation chain, system owner, ISSO, ISSM, Agency CISO, Legal counsel, Public Affairs (for incidents with public disclosure risk), CISA reporting contact (</w:t>
      </w:r>
      <w:r>
        <w:rPr>
          <w:rStyle w:val="VerbatimChar"/>
        </w:rPr>
        <w:t xml:space="preserve">https://www.cisa.gov/report</w:t>
      </w:r>
      <w:r>
        <w:t xml:space="preserve">), and FBI Cyber Division contact for criminal referral (if applicable). Assessors verify the list is dated and actively maintained.</w:t>
      </w:r>
    </w:p>
    <w:p>
      <w:pPr>
        <w:pStyle w:val="BodyText"/>
      </w:pPr>
      <w:r>
        <w:rPr>
          <w:b/>
          <w:bCs/>
        </w:rPr>
        <w:t xml:space="preserve">Artifact 3 — Communication Templates:</w:t>
      </w:r>
      <w:r>
        <w:t xml:space="preserve"> </w:t>
      </w:r>
      <w:r>
        <w:t xml:space="preserve">Pre-drafted notification templates for: initial internal escalation, agency leadership notification, CISA notification per the current-year OMB FISMA guidance (e.g., OMB M-24-04, which carries forward the 1-hour reporting requirement for major incidents), and external disclosure (if required). Templates reduce response time under pressure and ensure legally required notification elements are included without drafting under stress.</w:t>
      </w:r>
    </w:p>
    <w:p>
      <w:pPr>
        <w:pStyle w:val="BodyText"/>
      </w:pPr>
      <w:r>
        <w:rPr>
          <w:b/>
          <w:bCs/>
        </w:rPr>
        <w:t xml:space="preserve">Artifact 4 — Evidence Preservation Procedure:</w:t>
      </w:r>
      <w:r>
        <w:t xml:space="preserve"> </w:t>
      </w:r>
      <w:r>
        <w:t xml:space="preserve">A documented procedure for preserving forensic evidence from Sentinel incidents: incident record export to PDF, Log Analytics query results export to storage account, Defender for Endpoint device memory dump and disk image procedure, and chain of custody documentation. Assessors will ask whether evidence was preserved in the last incident and how.</w:t>
      </w:r>
    </w:p>
    <w:p>
      <w:pPr>
        <w:pStyle w:val="BodyText"/>
      </w:pPr>
      <w:r>
        <w:rPr>
          <w:b/>
          <w:bCs/>
        </w:rPr>
        <w:t xml:space="preserve">Artifact 5 — Lessons Learned Template:</w:t>
      </w:r>
      <w:r>
        <w:t xml:space="preserve"> </w:t>
      </w:r>
      <w:r>
        <w:t xml:space="preserve">A standard template used after each significant incident (P0 and P1 severity) to document: timeline reconstruction, root cause, detection gap assessment, containment effectiveness rating, and specific remediation actions with owners and due dates. Sentinel incident comments can serve as the raw material; the lessons learned template formalizes and stores the output.</w:t>
      </w:r>
    </w:p>
    <w:p>
      <w:pPr>
        <w:pStyle w:val="BodyText"/>
      </w:pPr>
      <w:r>
        <w:rPr>
          <w:b/>
          <w:bCs/>
        </w:rPr>
        <w:t xml:space="preserve">Artifact 6 — Tabletop Exercise Record:</w:t>
      </w:r>
      <w:r>
        <w:t xml:space="preserve"> </w:t>
      </w:r>
      <w:r>
        <w:t xml:space="preserve">Documentation of at least one tabletop exercise conducted in the past 12 months. The exercise scenario should be realistic for the threat environment — a DNS C2 beacon leading to lateral movement is a direct tabletop scenario derived from the log sources in this series. Record: exercise date, participants, scenario, actions taken, gaps identified, and follow-up items with owners and status.</w:t>
      </w:r>
    </w:p>
    <w:p>
      <w:pPr>
        <w:pStyle w:val="BodyText"/>
      </w:pPr>
      <w:r>
        <w:rPr>
          <w:b/>
          <w:bCs/>
        </w:rPr>
        <w:t xml:space="preserve">Artifact 7 — Annual IR Test Record:</w:t>
      </w:r>
      <w:r>
        <w:t xml:space="preserve"> </w:t>
      </w:r>
      <w:r>
        <w:t xml:space="preserve">FedRAMP requires that the IR plan be tested annually (IR-3). The test can be the tabletop exercise (Artifact 6) or a live-fire drill using Sentinel’s testing capabilities (Sentinel analytics rules support a</w:t>
      </w:r>
      <w:r>
        <w:t xml:space="preserve"> </w:t>
      </w:r>
      <w:r>
        <w:t xml:space="preserve">“test rule”</w:t>
      </w:r>
      <w:r>
        <w:t xml:space="preserve"> </w:t>
      </w:r>
      <w:r>
        <w:t xml:space="preserve">function that fires a simulated alert through the full automation chain). Record the test date, method, outcome, and any plan updates resulting from the test.</w:t>
      </w:r>
    </w:p>
    <w:p>
      <w:pPr>
        <w:pStyle w:val="BodyText"/>
      </w:pPr>
      <w:r>
        <w:rPr>
          <w:b/>
          <w:bCs/>
        </w:rPr>
        <w:t xml:space="preserve">CISA Reporting Threshold</w:t>
      </w:r>
      <w:r>
        <w:t xml:space="preserve"> </w:t>
      </w:r>
      <w:r>
        <w:t xml:space="preserve">— the current-year OMB FISMA guidance (e.g., OMB M-24-04, carrying forward the requirement first set in earlier annual FISMA memos) requires federal agencies to report major incidents to CISA within 1 hour of discovery. A major incident is defined as an incident that is likely to result in demonstrable harm to the national security interests, foreign relations, or economy of the United States, or is likely to have significant adverse effect on significant agency operations. In practical terms: any confirmed data breach, any successful ransomware deployment, and any confirmed APT access to federal systems are major incidents. The IR plan must document the 1-hour notification pathway explicitly.</w:t>
      </w:r>
    </w:p>
    <w:bookmarkEnd w:id="215"/>
    <w:bookmarkEnd w:id="216"/>
    <w:bookmarkStart w:id="219" w:name="au-11-retention-architecture"/>
    <w:p>
      <w:pPr>
        <w:pStyle w:val="Heading1"/>
      </w:pPr>
      <w:r>
        <w:t xml:space="preserve">AU-11 Retention Architecture</w:t>
      </w:r>
    </w:p>
    <w:bookmarkStart w:id="217" w:name="three-tier-design"/>
    <w:p>
      <w:pPr>
        <w:pStyle w:val="Heading2"/>
      </w:pPr>
      <w:r>
        <w:t xml:space="preserve">Three-Tier Design</w:t>
      </w:r>
    </w:p>
    <w:p>
      <w:pPr>
        <w:pStyle w:val="FirstParagraph"/>
      </w:pPr>
      <w:r>
        <w:t xml:space="preserve">The AU-11 retention requirement — preserve audit records for a period sufficient to support after-the-fact investigations — maps to a three-tier architecture that balances query performance, cost, and compliance assurance.</w:t>
      </w:r>
    </w:p>
    <w:p>
      <w:pPr>
        <w:pStyle w:val="BodyText"/>
      </w:pPr>
      <w:r>
        <w:rPr>
          <w:b/>
          <w:bCs/>
        </w:rPr>
        <w:t xml:space="preserve">Tier 1 — Interactive (90 days):</w:t>
      </w:r>
      <w:r>
        <w:t xml:space="preserve"> </w:t>
      </w:r>
      <w:r>
        <w:t xml:space="preserve">All ingested logs remain in the hot Log Analytics workspace for 90 days. Events in this tier are queryable in real-time via KQL, available for Sentinel analytics rules, and accessible to UEBA. This tier is the most expensive (per-GB ingestion plus per-GB retention) but is required for active detection operations. The 90-day window ensures that a detection rule authored today can look back through the full quarter without an archive retrieval delay.</w:t>
      </w:r>
    </w:p>
    <w:p>
      <w:pPr>
        <w:pStyle w:val="BodyText"/>
      </w:pPr>
      <w:r>
        <w:rPr>
          <w:b/>
          <w:bCs/>
        </w:rPr>
        <w:t xml:space="preserve">Tier 2 — Archive (2 additional years, 90 days to 3 years total):</w:t>
      </w:r>
      <w:r>
        <w:t xml:space="preserve"> </w:t>
      </w:r>
      <w:r>
        <w:t xml:space="preserve">Log Analytics archive tier retains data at approximately 1/12th the hot tier cost. Archived data is not queryable in real-time — a query job must be submitted, which runs asynchronously and returns results to a temporary workspace. Archive tier satisfies the FedRAMP ConMon requirement for 3-year audit record availability at an operationally sustainable cost.</w:t>
      </w:r>
    </w:p>
    <w:p>
      <w:pPr>
        <w:pStyle w:val="BodyText"/>
      </w:pPr>
      <w:r>
        <w:rPr>
          <w:b/>
          <w:bCs/>
        </w:rPr>
        <w:t xml:space="preserve">Tier 3 — Immutable WORM Storage (3 years minimum, policy-driven):</w:t>
      </w:r>
      <w:r>
        <w:t xml:space="preserve"> </w:t>
      </w:r>
      <w:r>
        <w:t xml:space="preserve">Export daily snapshots from the Log Analytics workspace to Azure Blob Storage with legal hold (object immutability, WORM — Write Once Read Many). This tier satisfies the NARA General Records Schedule 3.2 requirement for disposition-controlled federal records. Legal hold prevents deletion even by subscription administrators until the hold is explicitly lifted through a documented process.</w:t>
      </w:r>
    </w:p>
    <w:p>
      <w:pPr>
        <w:pStyle w:val="BodyText"/>
      </w:pPr>
      <w:r>
        <w:rPr>
          <w:b/>
          <w:bCs/>
        </w:rPr>
        <w:t xml:space="preserve">OMB M-26-14 event-logging maturity.</w:t>
      </w:r>
      <w:r>
        <w:t xml:space="preserve"> </w:t>
      </w:r>
      <w:r>
        <w:t xml:space="preserve">Beyond AU-11 and NARA GRS 3.2, OMB M-26-14 (22 May 2026), which rescinded M-21-31 and retired its EL0–EL3 tiers in favour of a five-level maturity model scored to the lowest watermark, sets an EL1 floor of</w:t>
      </w:r>
      <w:r>
        <w:t xml:space="preserve"> </w:t>
      </w:r>
      <w:r>
        <w:rPr>
          <w:b/>
          <w:bCs/>
        </w:rPr>
        <w:t xml:space="preserve">12 months of active (readily accessible) storage plus 18 months of cold storage</w:t>
      </w:r>
      <w:r>
        <w:t xml:space="preserve"> </w:t>
      </w:r>
      <w:r>
        <w:t xml:space="preserve">for in-scope logs — a longer active window than the 90-day interactive tier above. Two conformant options exist, and the choice must be recorded per table: (1) extend Tier 1 interactive retention to 12 months for the in-scope tables (SigninLogs, AuditLogs, and the other authentication, EDR, and DNS tables M-21-31 enumerates), accepting the added retention cost; or (2) where the asynchronous query-job latency of the Tier 2 archive is argued to satisfy</w:t>
      </w:r>
      <w:r>
        <w:t xml:space="preserve"> </w:t>
      </w:r>
      <w:r>
        <w:t xml:space="preserve">“readily accessible”</w:t>
      </w:r>
      <w:r>
        <w:t xml:space="preserve"> </w:t>
      </w:r>
      <w:r>
        <w:t xml:space="preserve">for a given table, document that determination and note the residual-risk acceptance explicitly. Map each in-scope table to its chosen option in the per-table retention configuration so an assessor can trace the M-21-31 EL1 decision.</w:t>
      </w:r>
    </w:p>
    <w:p>
      <w:pPr>
        <w:pStyle w:val="SourceCode"/>
      </w:pPr>
      <w:r>
        <w:rPr>
          <w:rStyle w:val="CommentTok"/>
        </w:rPr>
        <w:t xml:space="preserve"># Configure Azure Blob WORM storage with legal hold for AU-11 immutable retention</w:t>
      </w:r>
      <w:r>
        <w:br/>
      </w:r>
      <w:r>
        <w:rPr>
          <w:rStyle w:val="VariableTok"/>
        </w:rPr>
        <w:t xml:space="preserve">$StorageRg</w:t>
      </w:r>
      <w:r>
        <w:rPr>
          <w:rStyle w:val="NormalTok"/>
        </w:rPr>
        <w:t xml:space="preserve">       </w:t>
      </w:r>
      <w:r>
        <w:rPr>
          <w:rStyle w:val="OperatorTok"/>
        </w:rPr>
        <w:t xml:space="preserve">=</w:t>
      </w:r>
      <w:r>
        <w:rPr>
          <w:rStyle w:val="NormalTok"/>
        </w:rPr>
        <w:t xml:space="preserve"> </w:t>
      </w:r>
      <w:r>
        <w:rPr>
          <w:rStyle w:val="StringTok"/>
        </w:rPr>
        <w:t xml:space="preserve">"&lt;storage-resource-group&gt;"</w:t>
      </w:r>
      <w:r>
        <w:br/>
      </w:r>
      <w:r>
        <w:rPr>
          <w:rStyle w:val="VariableTok"/>
        </w:rPr>
        <w:t xml:space="preserve">$StorageAccount</w:t>
      </w:r>
      <w:r>
        <w:rPr>
          <w:rStyle w:val="NormalTok"/>
        </w:rPr>
        <w:t xml:space="preserve">  </w:t>
      </w:r>
      <w:r>
        <w:rPr>
          <w:rStyle w:val="OperatorTok"/>
        </w:rPr>
        <w:t xml:space="preserve">=</w:t>
      </w:r>
      <w:r>
        <w:rPr>
          <w:rStyle w:val="NormalTok"/>
        </w:rPr>
        <w:t xml:space="preserve"> </w:t>
      </w:r>
      <w:r>
        <w:rPr>
          <w:rStyle w:val="StringTok"/>
        </w:rPr>
        <w:t xml:space="preserve">"&lt;audit-storage-account&gt;"</w:t>
      </w:r>
      <w:r>
        <w:br/>
      </w:r>
      <w:r>
        <w:rPr>
          <w:rStyle w:val="VariableTok"/>
        </w:rPr>
        <w:t xml:space="preserve">$ContainerName</w:t>
      </w:r>
      <w:r>
        <w:rPr>
          <w:rStyle w:val="NormalTok"/>
        </w:rPr>
        <w:t xml:space="preserve">   </w:t>
      </w:r>
      <w:r>
        <w:rPr>
          <w:rStyle w:val="OperatorTok"/>
        </w:rPr>
        <w:t xml:space="preserve">=</w:t>
      </w:r>
      <w:r>
        <w:rPr>
          <w:rStyle w:val="NormalTok"/>
        </w:rPr>
        <w:t xml:space="preserve"> </w:t>
      </w:r>
      <w:r>
        <w:rPr>
          <w:rStyle w:val="StringTok"/>
        </w:rPr>
        <w:t xml:space="preserve">"sentinel-audit-worm"</w:t>
      </w:r>
      <w:r>
        <w:br/>
      </w:r>
      <w:r>
        <w:br/>
      </w:r>
      <w:r>
        <w:rPr>
          <w:rStyle w:val="CommentTok"/>
        </w:rPr>
        <w:t xml:space="preserve"># Create storage account with immutability support</w:t>
      </w:r>
      <w:r>
        <w:br/>
      </w:r>
      <w:r>
        <w:rPr>
          <w:rStyle w:val="NormalTok"/>
        </w:rPr>
        <w:t xml:space="preserve">New-AzStorageAccount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SkuName </w:t>
      </w:r>
      <w:r>
        <w:rPr>
          <w:rStyle w:val="StringTok"/>
        </w:rPr>
        <w:t xml:space="preserve">"Standard_GRS"</w:t>
      </w:r>
      <w:r>
        <w:rPr>
          <w:rStyle w:val="NormalTok"/>
        </w:rPr>
        <w:t xml:space="preserve"> `</w:t>
      </w:r>
      <w:r>
        <w:br/>
      </w:r>
      <w:r>
        <w:rPr>
          <w:rStyle w:val="NormalTok"/>
        </w:rPr>
        <w:t xml:space="preserve">    </w:t>
      </w:r>
      <w:r>
        <w:rPr>
          <w:rStyle w:val="OperatorTok"/>
        </w:rPr>
        <w:t xml:space="preserve">-</w:t>
      </w:r>
      <w:r>
        <w:rPr>
          <w:rStyle w:val="NormalTok"/>
        </w:rPr>
        <w:t xml:space="preserve">Kind </w:t>
      </w:r>
      <w:r>
        <w:rPr>
          <w:rStyle w:val="StringTok"/>
        </w:rPr>
        <w:t xml:space="preserve">"StorageV2"</w:t>
      </w:r>
      <w:r>
        <w:rPr>
          <w:rStyle w:val="NormalTok"/>
        </w:rPr>
        <w:t xml:space="preserve"> `</w:t>
      </w:r>
      <w:r>
        <w:br/>
      </w:r>
      <w:r>
        <w:rPr>
          <w:rStyle w:val="NormalTok"/>
        </w:rPr>
        <w:t xml:space="preserve">    </w:t>
      </w:r>
      <w:r>
        <w:rPr>
          <w:rStyle w:val="OperatorTok"/>
        </w:rPr>
        <w:t xml:space="preserve">-</w:t>
      </w:r>
      <w:r>
        <w:rPr>
          <w:rStyle w:val="NormalTok"/>
        </w:rPr>
        <w:t xml:space="preserve">AllowBlobPublicAccess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MinimumTlsVersion </w:t>
      </w:r>
      <w:r>
        <w:rPr>
          <w:rStyle w:val="StringTok"/>
        </w:rPr>
        <w:t xml:space="preserve">"TLS1_2"</w:t>
      </w:r>
      <w:r>
        <w:br/>
      </w:r>
      <w:r>
        <w:br/>
      </w:r>
      <w:r>
        <w:rPr>
          <w:rStyle w:val="VariableTok"/>
        </w:rPr>
        <w:t xml:space="preserve">$StorageCtx</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OperatorTok"/>
        </w:rPr>
        <w:t xml:space="preserve">).</w:t>
      </w:r>
      <w:r>
        <w:rPr>
          <w:rStyle w:val="FunctionTok"/>
        </w:rPr>
        <w:t xml:space="preserve">Context</w:t>
      </w:r>
      <w:r>
        <w:br/>
      </w:r>
      <w:r>
        <w:br/>
      </w:r>
      <w:r>
        <w:rPr>
          <w:rStyle w:val="CommentTok"/>
        </w:rPr>
        <w:t xml:space="preserve"># Create container for immutable audit storage</w:t>
      </w:r>
      <w:r>
        <w:br/>
      </w:r>
      <w:r>
        <w:rPr>
          <w:rStyle w:val="NormalTok"/>
        </w:rPr>
        <w:t xml:space="preserve">New-AzStorageContainer </w:t>
      </w:r>
      <w:r>
        <w:rPr>
          <w:rStyle w:val="OperatorTok"/>
        </w:rPr>
        <w:t xml:space="preserve">-</w:t>
      </w:r>
      <w:r>
        <w:rPr>
          <w:rStyle w:val="NormalTok"/>
        </w:rPr>
        <w:t xml:space="preserve">Name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CommentTok"/>
        </w:rPr>
        <w:t xml:space="preserve"># Apply time-based retention policy: 1,095 days (3 years) minimum</w:t>
      </w:r>
      <w:r>
        <w:br/>
      </w:r>
      <w:r>
        <w:rPr>
          <w:rStyle w:val="NormalTok"/>
        </w:rPr>
        <w:t xml:space="preserve">Set-AzStorageContainerStoredAccessPolicy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NormalTok"/>
        </w:rPr>
        <w:t xml:space="preserve">Add-AzRmStorageContainerImmutabilityPolicy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StorageAccountName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ContainerName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ImmutabilityPeriod </w:t>
      </w:r>
      <w:r>
        <w:rPr>
          <w:rStyle w:val="DecValTok"/>
        </w:rPr>
        <w:t xml:space="preserve">1095</w:t>
      </w:r>
      <w:r>
        <w:rPr>
          <w:rStyle w:val="NormalTok"/>
        </w:rPr>
        <w:t xml:space="preserve"> `</w:t>
      </w:r>
      <w:r>
        <w:br/>
      </w:r>
      <w:r>
        <w:rPr>
          <w:rStyle w:val="NormalTok"/>
        </w:rPr>
        <w:t xml:space="preserve">    </w:t>
      </w:r>
      <w:r>
        <w:rPr>
          <w:rStyle w:val="OperatorTok"/>
        </w:rPr>
        <w:t xml:space="preserve">-</w:t>
      </w:r>
      <w:r>
        <w:rPr>
          <w:rStyle w:val="NormalTok"/>
        </w:rPr>
        <w:t xml:space="preserve">AllowProtectedAppendWriteAll </w:t>
      </w:r>
      <w:r>
        <w:rPr>
          <w:rStyle w:val="VariableTok"/>
        </w:rPr>
        <w:t xml:space="preserve">$false</w:t>
      </w:r>
    </w:p>
    <w:bookmarkEnd w:id="217"/>
    <w:bookmarkStart w:id="218" w:name="cost-model"/>
    <w:p>
      <w:pPr>
        <w:pStyle w:val="Heading2"/>
      </w:pPr>
      <w:r>
        <w:t xml:space="preserve">Cost Model</w:t>
      </w:r>
    </w:p>
    <w:p>
      <w:pPr>
        <w:pStyle w:val="FirstParagraph"/>
      </w:pPr>
      <w:r>
        <w:t xml:space="preserve">Log Analytics pricing at scale is a primary budget consideration for SIEM deployments. The following model is illustrative at the EPS volumes estimated in Section 3.</w:t>
      </w:r>
    </w:p>
    <w:p>
      <w:pPr>
        <w:pStyle w:val="TableCaption"/>
      </w:pPr>
      <w:r>
        <w:t xml:space="preserve">Sentinel cost model components</w:t>
      </w:r>
    </w:p>
    <w:tbl>
      <w:tblPr>
        <w:tblStyle w:val="Table"/>
        <w:tblW w:type="pct" w:w="5000"/>
        <w:tblLayout w:type="fixed"/>
        <w:tblLook w:firstRow="1" w:lastRow="0" w:firstColumn="0" w:lastColumn="0" w:noHBand="0" w:noVBand="0" w:val="0020"/>
        <w:tblCaption w:val="Sentinel cost model components"/>
      </w:tblPr>
      <w:tblGrid>
        <w:gridCol w:w="2640"/>
        <w:gridCol w:w="2640"/>
        <w:gridCol w:w="2640"/>
      </w:tblGrid>
      <w:tr>
        <w:trPr>
          <w:tblHeader w:val="on"/>
        </w:trPr>
        <w:tc>
          <w:tcPr/>
          <w:p>
            <w:pPr>
              <w:pStyle w:val="Compact"/>
            </w:pPr>
            <w:r>
              <w:t xml:space="preserve">Component</w:t>
            </w:r>
          </w:p>
        </w:tc>
        <w:tc>
          <w:tcPr/>
          <w:p>
            <w:pPr>
              <w:pStyle w:val="Compact"/>
            </w:pPr>
            <w:r>
              <w:t xml:space="preserve">Daily Volume (GB)</w:t>
            </w:r>
          </w:p>
        </w:tc>
        <w:tc>
          <w:tcPr/>
          <w:p>
            <w:pPr>
              <w:pStyle w:val="Compact"/>
            </w:pPr>
            <w:r>
              <w:t xml:space="preserve">Monthly Cost Model</w:t>
            </w:r>
          </w:p>
        </w:tc>
      </w:tr>
      <w:tr>
        <w:tc>
          <w:tcPr/>
          <w:p>
            <w:pPr>
              <w:pStyle w:val="Compact"/>
            </w:pPr>
            <w:r>
              <w:t xml:space="preserve">Ingestion (all connectors combined)</w:t>
            </w:r>
          </w:p>
        </w:tc>
        <w:tc>
          <w:tcPr/>
          <w:p>
            <w:pPr>
              <w:pStyle w:val="Compact"/>
            </w:pPr>
            <w:r>
              <w:t xml:space="preserve">50–150 GB/day</w:t>
            </w:r>
          </w:p>
        </w:tc>
        <w:tc>
          <w:tcPr/>
          <w:p>
            <w:pPr>
              <w:pStyle w:val="Compact"/>
            </w:pPr>
            <w:r>
              <w:t xml:space="preserve">Per-GB ingestion charge</w:t>
            </w:r>
          </w:p>
        </w:tc>
      </w:tr>
      <w:tr>
        <w:tc>
          <w:tcPr/>
          <w:p>
            <w:pPr>
              <w:pStyle w:val="Compact"/>
            </w:pPr>
            <w:r>
              <w:t xml:space="preserve">Interactive retention (90 days)</w:t>
            </w:r>
          </w:p>
        </w:tc>
        <w:tc>
          <w:tcPr/>
          <w:p>
            <w:pPr>
              <w:pStyle w:val="Compact"/>
            </w:pPr>
            <w:r>
              <w:t xml:space="preserve">Accumulating to 4,500–13,500 GB</w:t>
            </w:r>
          </w:p>
        </w:tc>
        <w:tc>
          <w:tcPr/>
          <w:p>
            <w:pPr>
              <w:pStyle w:val="Compact"/>
            </w:pPr>
            <w:r>
              <w:t xml:space="preserve">Per-GB/day retention</w:t>
            </w:r>
          </w:p>
        </w:tc>
      </w:tr>
      <w:tr>
        <w:tc>
          <w:tcPr/>
          <w:p>
            <w:pPr>
              <w:pStyle w:val="Compact"/>
            </w:pPr>
            <w:r>
              <w:t xml:space="preserve">Archive retention (2 years beyond 90 days)</w:t>
            </w:r>
          </w:p>
        </w:tc>
        <w:tc>
          <w:tcPr/>
          <w:p>
            <w:pPr>
              <w:pStyle w:val="Compact"/>
            </w:pPr>
            <w:r>
              <w:t xml:space="preserve">Policy tier activation</w:t>
            </w:r>
          </w:p>
        </w:tc>
        <w:tc>
          <w:tcPr/>
          <w:p>
            <w:pPr>
              <w:pStyle w:val="Compact"/>
            </w:pPr>
            <w:r>
              <w:t xml:space="preserve">~8% of interactive retention cost</w:t>
            </w:r>
          </w:p>
        </w:tc>
      </w:tr>
      <w:tr>
        <w:tc>
          <w:tcPr/>
          <w:p>
            <w:pPr>
              <w:pStyle w:val="Compact"/>
            </w:pPr>
            <w:r>
              <w:t xml:space="preserve">WORM Blob Storage (3 years, GRS)</w:t>
            </w:r>
          </w:p>
        </w:tc>
        <w:tc>
          <w:tcPr/>
          <w:p>
            <w:pPr>
              <w:pStyle w:val="Compact"/>
            </w:pPr>
            <w:r>
              <w:t xml:space="preserve">Compressed export</w:t>
            </w:r>
          </w:p>
        </w:tc>
        <w:tc>
          <w:tcPr/>
          <w:p>
            <w:pPr>
              <w:pStyle w:val="Compact"/>
            </w:pPr>
            <w:r>
              <w:t xml:space="preserve">Azure Blob GRS pricing</w:t>
            </w:r>
          </w:p>
        </w:tc>
      </w:tr>
      <w:tr>
        <w:tc>
          <w:tcPr/>
          <w:p>
            <w:pPr>
              <w:pStyle w:val="Compact"/>
            </w:pPr>
            <w:r>
              <w:t xml:space="preserve">Logic App playbook executions</w:t>
            </w:r>
          </w:p>
        </w:tc>
        <w:tc>
          <w:tcPr/>
          <w:p>
            <w:pPr>
              <w:pStyle w:val="Compact"/>
            </w:pPr>
            <w:r>
              <w:t xml:space="preserve">Per-action billing</w:t>
            </w:r>
          </w:p>
        </w:tc>
        <w:tc>
          <w:tcPr/>
          <w:p>
            <w:pPr>
              <w:pStyle w:val="Compact"/>
            </w:pPr>
            <w:r>
              <w:t xml:space="preserve">Minor relative to data costs</w:t>
            </w:r>
          </w:p>
        </w:tc>
      </w:tr>
    </w:tbl>
    <w:p>
      <w:pPr>
        <w:pStyle w:val="BodyText"/>
      </w:pPr>
      <w:r>
        <w:rPr>
          <w:b/>
          <w:bCs/>
        </w:rPr>
        <w:t xml:space="preserve">Commitment Tier Discount</w:t>
      </w:r>
      <w:r>
        <w:t xml:space="preserve"> </w:t>
      </w:r>
      <w:r>
        <w:t xml:space="preserve">— Microsoft Sentinel offers commitment tier pricing (100 GB/day through 5,000 GB/day tiers) that reduces per-GB ingestion cost by 15–65% compared to pay-as-you-go pricing. Any agency ingesting more than 100 GB/day should evaluate commitment tier pricing before the system reaches steady state. The 12-month commitment tier requires no upfront payment — it is a pricing rate selection, not a prepayment. Evaluate at the 60-day mark after all connectors are live.</w:t>
      </w:r>
    </w:p>
    <w:bookmarkEnd w:id="218"/>
    <w:bookmarkEnd w:id="219"/>
    <w:bookmarkStart w:id="222" w:name="nist-control-closure"/>
    <w:p>
      <w:pPr>
        <w:pStyle w:val="Heading1"/>
      </w:pPr>
      <w:r>
        <w:t xml:space="preserve">NIST Control Closure</w:t>
      </w:r>
    </w:p>
    <w:p>
      <w:pPr>
        <w:pStyle w:val="FirstParagraph"/>
      </w:pPr>
      <w:r>
        <w:t xml:space="preserve">The following table documents the NIST SP 800-53 Rev 5 controls addressed by this document, the gap that existed before implementation, the mechanism this document provides, and the authoritative reference.</w:t>
      </w:r>
    </w:p>
    <w:p>
      <w:pPr>
        <w:pStyle w:val="BlockText"/>
      </w:pPr>
      <w:r>
        <w:rPr>
          <w:b/>
          <w:bCs/>
        </w:rPr>
        <w:t xml:space="preserve">Closure Necessity — SI-4(4) on application-layer telemetry.</w:t>
      </w:r>
      <w:r>
        <w:t xml:space="preserve"> </w:t>
      </w:r>
      <w:r>
        <w:t xml:space="preserve">SI-4(4) requires monitoring of inbound and outbound communications traffic for unusual or unauthorized activities. A bare circuit emits packets, and router flow logs see what packets expose: IP pairs, ports, byte counts — not the session, the user, the device posture, or the application. The per-session telemetry the detection rules in this table consume — full URL, user identity, posture score, transfer volume — exists only because the SD-WAN/SASE stack of Vol I Books 05–06 (Network Modernization and Federal Telecommunications Modernization) decodes traffic at an application-aware enforcement point and emits it. No collector, connector, or analytics rule can extract application-layer fields from traffic that was never decoded in the path: without the overlay, the SI-4 and SI-4(4) rows below have no input, and the control does not close.</w:t>
      </w:r>
    </w:p>
    <w:p>
      <w:pPr>
        <w:pStyle w:val="TableCaption"/>
      </w:pPr>
      <w:r>
        <w:t xml:space="preserve">NIST SP 800-53 Rev 5 control closure for Vol III Book 06</w:t>
      </w:r>
    </w:p>
    <w:tbl>
      <w:tblPr>
        <w:tblStyle w:val="Table"/>
        <w:tblW w:type="pct" w:w="5000"/>
        <w:tblLayout w:type="fixed"/>
        <w:tblLook w:firstRow="1" w:lastRow="0" w:firstColumn="0" w:lastColumn="0" w:noHBand="0" w:noVBand="0" w:val="0020"/>
        <w:tblCaption w:val="NIST SP 800-53 Rev 5 control closure for Vol III Book 06"/>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Logs present in Log Analytics; no automated analysis; MTTD weeks to never; assessors cannot be shown a fired alert</w:t>
            </w:r>
          </w:p>
        </w:tc>
        <w:tc>
          <w:tcPr/>
          <w:p>
            <w:pPr>
              <w:pStyle w:val="Compact"/>
            </w:pPr>
            <w:r>
              <w:t xml:space="preserve">Sentinel analytics rules evaluate all log sources continuously; every rule firing creates an incident; incidents are reviewed by SOC within defined SLA; alert + ticket chain is auditable</w:t>
            </w:r>
          </w:p>
        </w:tc>
        <w:tc>
          <w:tcPr/>
          <w:p>
            <w:pPr>
              <w:pStyle w:val="Compact"/>
            </w:pPr>
            <w:r>
              <w:t xml:space="preserve">NIST SP 800-53 Rev 5 AU-6; FedRAMP Moderate Baseline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Manual query of logs required; no automated escalation from audit review to incident management</w:t>
            </w:r>
          </w:p>
        </w:tc>
        <w:tc>
          <w:tcPr/>
          <w:p>
            <w:pPr>
              <w:pStyle w:val="Compact"/>
            </w:pPr>
            <w:r>
              <w:t xml:space="preserve">Logic App playbooks connect Sentinel incidents to ServiceNow automatically; enrichment appends Entra ID risk and device compliance; no manual copy-paste between systems</w:t>
            </w:r>
          </w:p>
        </w:tc>
        <w:tc>
          <w:tcPr/>
          <w:p>
            <w:pPr>
              <w:pStyle w:val="Compact"/>
            </w:pPr>
            <w:r>
              <w:t xml:space="preserve">NIST SP 800-53 Rev 5 AU-6(1)</w:t>
            </w:r>
          </w:p>
        </w:tc>
      </w:tr>
      <w:tr>
        <w:tc>
          <w:tcPr/>
          <w:p>
            <w:pPr>
              <w:pStyle w:val="Compact"/>
            </w:pPr>
            <w:r>
              <w:t xml:space="preserve">AU-6(4)</w:t>
            </w:r>
          </w:p>
        </w:tc>
        <w:tc>
          <w:tcPr/>
          <w:p>
            <w:pPr>
              <w:pStyle w:val="Compact"/>
            </w:pPr>
            <w:r>
              <w:t xml:space="preserve">Central Review and Analysis</w:t>
            </w:r>
          </w:p>
        </w:tc>
        <w:tc>
          <w:tcPr/>
          <w:p>
            <w:pPr>
              <w:pStyle w:val="Compact"/>
            </w:pPr>
            <w:r>
              <w:t xml:space="preserve">Log sources (InfoBlox, Entra, SQL, Defender) are in separate silos; no single review point</w:t>
            </w:r>
          </w:p>
        </w:tc>
        <w:tc>
          <w:tcPr/>
          <w:p>
            <w:pPr>
              <w:pStyle w:val="Compact"/>
            </w:pPr>
            <w:r>
              <w:t xml:space="preserve">All log sources ingest to single Log Analytics workspace; all analytics rules query the unified workspace; all incidents appear in single Sentinel incident queue</w:t>
            </w:r>
          </w:p>
        </w:tc>
        <w:tc>
          <w:tcPr/>
          <w:p>
            <w:pPr>
              <w:pStyle w:val="Compact"/>
            </w:pPr>
            <w:r>
              <w:t xml:space="preserve">NIST SP 800-53 Rev 5 AU-6(4)</w:t>
            </w:r>
          </w:p>
        </w:tc>
      </w:tr>
      <w:tr>
        <w:tc>
          <w:tcPr/>
          <w:p>
            <w:pPr>
              <w:pStyle w:val="Compact"/>
            </w:pPr>
            <w:r>
              <w:t xml:space="preserve">AU-7</w:t>
            </w:r>
          </w:p>
        </w:tc>
        <w:tc>
          <w:tcPr/>
          <w:p>
            <w:pPr>
              <w:pStyle w:val="Compact"/>
            </w:pPr>
            <w:r>
              <w:t xml:space="preserve">Audit Record Reduction and Report Generation</w:t>
            </w:r>
          </w:p>
        </w:tc>
        <w:tc>
          <w:tcPr/>
          <w:p>
            <w:pPr>
              <w:pStyle w:val="Compact"/>
            </w:pPr>
            <w:r>
              <w:t xml:space="preserve">Analysts manually construct audit reports from raw log sources; no on-demand reporting</w:t>
            </w:r>
          </w:p>
        </w:tc>
        <w:tc>
          <w:tcPr/>
          <w:p>
            <w:pPr>
              <w:pStyle w:val="Compact"/>
            </w:pPr>
            <w:r>
              <w:t xml:space="preserve">Sentinel workbooks provide pre-built operational dashboards; KQL-based report queries produce structured output on demand; Log Analytics export to CSV/JSON for evidence packaging</w:t>
            </w:r>
          </w:p>
        </w:tc>
        <w:tc>
          <w:tcPr/>
          <w:p>
            <w:pPr>
              <w:pStyle w:val="Compact"/>
            </w:pPr>
            <w:r>
              <w:t xml:space="preserve">NIST SP 800-53 Rev 5 AU-7</w:t>
            </w:r>
          </w:p>
        </w:tc>
      </w:tr>
      <w:tr>
        <w:tc>
          <w:tcPr/>
          <w:p>
            <w:pPr>
              <w:pStyle w:val="Compact"/>
            </w:pPr>
            <w:r>
              <w:t xml:space="preserve">AU-8</w:t>
            </w:r>
          </w:p>
        </w:tc>
        <w:tc>
          <w:tcPr/>
          <w:p>
            <w:pPr>
              <w:pStyle w:val="Compact"/>
            </w:pPr>
            <w:r>
              <w:t xml:space="preserve">Time Stamps</w:t>
            </w:r>
          </w:p>
        </w:tc>
        <w:tc>
          <w:tcPr/>
          <w:p>
            <w:pPr>
              <w:pStyle w:val="Compact"/>
            </w:pPr>
            <w:r>
              <w:t xml:space="preserve">Log source timestamps may differ due to NTP drift; correlation across sources unreliable</w:t>
            </w:r>
          </w:p>
        </w:tc>
        <w:tc>
          <w:tcPr/>
          <w:p>
            <w:pPr>
              <w:pStyle w:val="Compact"/>
            </w:pPr>
            <w:r>
              <w:t xml:space="preserve">Sentinel normalizes all event timestamps to UTC on ingestion; ASIM schema enforces canonical time field; NTP monitoring from InfoBlox NIOS provides network-wide time sync baseline</w:t>
            </w:r>
          </w:p>
        </w:tc>
        <w:tc>
          <w:tcPr/>
          <w:p>
            <w:pPr>
              <w:pStyle w:val="Compact"/>
            </w:pPr>
            <w:r>
              <w:t xml:space="preserve">NIST SP 800-53 Rev 5 AU-8</w:t>
            </w:r>
          </w:p>
        </w:tc>
      </w:tr>
      <w:tr>
        <w:tc>
          <w:tcPr/>
          <w:p>
            <w:pPr>
              <w:pStyle w:val="Compact"/>
            </w:pPr>
            <w:r>
              <w:t xml:space="preserve">AU-11</w:t>
            </w:r>
          </w:p>
        </w:tc>
        <w:tc>
          <w:tcPr/>
          <w:p>
            <w:pPr>
              <w:pStyle w:val="Compact"/>
            </w:pPr>
            <w:r>
              <w:t xml:space="preserve">Audit Record Retention</w:t>
            </w:r>
          </w:p>
        </w:tc>
        <w:tc>
          <w:tcPr/>
          <w:p>
            <w:pPr>
              <w:pStyle w:val="Compact"/>
            </w:pPr>
            <w:r>
              <w:t xml:space="preserve">Logs retained in default Log Analytics 30-day window; no archive tier configured; no WORM copy</w:t>
            </w:r>
          </w:p>
        </w:tc>
        <w:tc>
          <w:tcPr/>
          <w:p>
            <w:pPr>
              <w:pStyle w:val="Compact"/>
            </w:pPr>
            <w:r>
              <w:t xml:space="preserve">Three-tier retention: 90-day interactive, 2-year archive tier, 3-year WORM Blob with legal hold; per-table retention configured to meet NARA GRS 3.2 minimum</w:t>
            </w:r>
          </w:p>
        </w:tc>
        <w:tc>
          <w:tcPr/>
          <w:p>
            <w:pPr>
              <w:pStyle w:val="Compact"/>
            </w:pPr>
            <w:r>
              <w:t xml:space="preserve">NIST SP 800-53 Rev 5 AU-11; NARA GRS 3.2</w:t>
            </w:r>
          </w:p>
        </w:tc>
      </w:tr>
      <w:tr>
        <w:tc>
          <w:tcPr/>
          <w:p>
            <w:pPr>
              <w:pStyle w:val="Compact"/>
            </w:pPr>
            <w:r>
              <w:t xml:space="preserve">SI-4</w:t>
            </w:r>
          </w:p>
        </w:tc>
        <w:tc>
          <w:tcPr/>
          <w:p>
            <w:pPr>
              <w:pStyle w:val="Compact"/>
            </w:pPr>
            <w:r>
              <w:t xml:space="preserve">System Monitoring</w:t>
            </w:r>
          </w:p>
        </w:tc>
        <w:tc>
          <w:tcPr/>
          <w:p>
            <w:pPr>
              <w:pStyle w:val="Compact"/>
            </w:pPr>
            <w:r>
              <w:t xml:space="preserve">No automated monitoring; network and endpoint telemetry not correlated; no anomaly detection</w:t>
            </w:r>
          </w:p>
        </w:tc>
        <w:tc>
          <w:tcPr/>
          <w:p>
            <w:pPr>
              <w:pStyle w:val="Compact"/>
            </w:pPr>
            <w:r>
              <w:t xml:space="preserve">20-rule priority detection library; UEBA behavioral baseline across all log sources; TIDE IOC auto-correlation; Defender for Endpoint real-time telemetry</w:t>
            </w:r>
          </w:p>
        </w:tc>
        <w:tc>
          <w:tcPr/>
          <w:p>
            <w:pPr>
              <w:pStyle w:val="Compact"/>
            </w:pPr>
            <w:r>
              <w:t xml:space="preserve">NIST SP 800-53 Rev 5 SI-4</w:t>
            </w:r>
          </w:p>
        </w:tc>
      </w:tr>
      <w:tr>
        <w:tc>
          <w:tcPr/>
          <w:p>
            <w:pPr>
              <w:pStyle w:val="Compact"/>
            </w:pPr>
            <w:r>
              <w:t xml:space="preserve">SI-4(2)</w:t>
            </w:r>
          </w:p>
        </w:tc>
        <w:tc>
          <w:tcPr/>
          <w:p>
            <w:pPr>
              <w:pStyle w:val="Compact"/>
            </w:pPr>
            <w:r>
              <w:t xml:space="preserve">Automated Tools and Mechanisms for Real-time Analysis</w:t>
            </w:r>
          </w:p>
        </w:tc>
        <w:tc>
          <w:tcPr/>
          <w:p>
            <w:pPr>
              <w:pStyle w:val="Compact"/>
            </w:pPr>
            <w:r>
              <w:t xml:space="preserve">Log data available but no automated analysis tools running against it</w:t>
            </w:r>
          </w:p>
        </w:tc>
        <w:tc>
          <w:tcPr/>
          <w:p>
            <w:pPr>
              <w:pStyle w:val="Compact"/>
            </w:pPr>
            <w:r>
              <w:t xml:space="preserve">Sentinel analytics rules evaluate logs continuously at configurable frequency (5–60 min); UEBA models update hourly; TI indicator correlation runs every 15 min</w:t>
            </w:r>
          </w:p>
        </w:tc>
        <w:tc>
          <w:tcPr/>
          <w:p>
            <w:pPr>
              <w:pStyle w:val="Compact"/>
            </w:pPr>
            <w:r>
              <w:t xml:space="preserve">NIST SP 800-53 Rev 5 SI-4(2)</w:t>
            </w:r>
          </w:p>
        </w:tc>
      </w:tr>
      <w:tr>
        <w:tc>
          <w:tcPr/>
          <w:p>
            <w:pPr>
              <w:pStyle w:val="Compact"/>
            </w:pPr>
            <w:r>
              <w:t xml:space="preserve">SI-4(4)</w:t>
            </w:r>
          </w:p>
        </w:tc>
        <w:tc>
          <w:tcPr/>
          <w:p>
            <w:pPr>
              <w:pStyle w:val="Compact"/>
            </w:pPr>
            <w:r>
              <w:t xml:space="preserve">Inbound and Outbound Communications Traffic</w:t>
            </w:r>
          </w:p>
        </w:tc>
        <w:tc>
          <w:tcPr/>
          <w:p>
            <w:pPr>
              <w:pStyle w:val="Compact"/>
            </w:pPr>
            <w:r>
              <w:t xml:space="preserve">No monitoring of DNS traffic patterns or SASE egress at user level</w:t>
            </w:r>
          </w:p>
        </w:tc>
        <w:tc>
          <w:tcPr/>
          <w:p>
            <w:pPr>
              <w:pStyle w:val="Compact"/>
            </w:pPr>
            <w:r>
              <w:t xml:space="preserve">InfoBlox RPZ monitoring covers all DNS (inbound and internal); SASE connector covers all user egress with URL, user, and volume telemetry; Defender network events cover endpoint-level outbound</w:t>
            </w:r>
          </w:p>
        </w:tc>
        <w:tc>
          <w:tcPr/>
          <w:p>
            <w:pPr>
              <w:pStyle w:val="Compact"/>
            </w:pPr>
            <w:r>
              <w:t xml:space="preserve">NIST SP 800-53 Rev 5 SI-4(4)</w:t>
            </w:r>
          </w:p>
        </w:tc>
      </w:tr>
      <w:tr>
        <w:tc>
          <w:tcPr/>
          <w:p>
            <w:pPr>
              <w:pStyle w:val="Compact"/>
            </w:pPr>
            <w:r>
              <w:t xml:space="preserve">SI-4(7)</w:t>
            </w:r>
          </w:p>
        </w:tc>
        <w:tc>
          <w:tcPr/>
          <w:p>
            <w:pPr>
              <w:pStyle w:val="Compact"/>
            </w:pPr>
            <w:r>
              <w:t xml:space="preserve">Automated Response to Suspicious Events</w:t>
            </w:r>
          </w:p>
        </w:tc>
        <w:tc>
          <w:tcPr/>
          <w:p>
            <w:pPr>
              <w:pStyle w:val="Compact"/>
            </w:pPr>
            <w:r>
              <w:t xml:space="preserve">No automated response; all containment actions require manual analyst intervention</w:t>
            </w:r>
          </w:p>
        </w:tc>
        <w:tc>
          <w:tcPr/>
          <w:p>
            <w:pPr>
              <w:pStyle w:val="Compact"/>
            </w:pPr>
            <w:r>
              <w:t xml:space="preserve">Automated device isolation playbook for confirmed KEV exploitation; automated account disable for compound impossible travel + high-risk sign-in; automated suppression for known FP patterns</w:t>
            </w:r>
          </w:p>
        </w:tc>
        <w:tc>
          <w:tcPr/>
          <w:p>
            <w:pPr>
              <w:pStyle w:val="Compact"/>
            </w:pPr>
            <w:r>
              <w:t xml:space="preserve">NIST SP 800-53 Rev 5 SI-4(7)</w:t>
            </w:r>
          </w:p>
        </w:tc>
      </w:tr>
      <w:tr>
        <w:tc>
          <w:tcPr/>
          <w:p>
            <w:pPr>
              <w:pStyle w:val="Compact"/>
            </w:pPr>
            <w:r>
              <w:t xml:space="preserve">IR-4</w:t>
            </w:r>
          </w:p>
        </w:tc>
        <w:tc>
          <w:tcPr/>
          <w:p>
            <w:pPr>
              <w:pStyle w:val="Compact"/>
            </w:pPr>
            <w:r>
              <w:t xml:space="preserve">Incident Handling</w:t>
            </w:r>
          </w:p>
        </w:tc>
        <w:tc>
          <w:tcPr/>
          <w:p>
            <w:pPr>
              <w:pStyle w:val="Compact"/>
            </w:pPr>
            <w:r>
              <w:t xml:space="preserve">Incident handling process informal; no structured workflow; no automated enrichment; escalation paths undocumented</w:t>
            </w:r>
          </w:p>
        </w:tc>
        <w:tc>
          <w:tcPr/>
          <w:p>
            <w:pPr>
              <w:pStyle w:val="Compact"/>
            </w:pPr>
            <w:r>
              <w:t xml:space="preserve">Sentinel incident queue provides structured handling; automation rules assign severity and owner; enrichment playbooks provide context before analyst touch; playbook actions documented in incident comments</w:t>
            </w:r>
          </w:p>
        </w:tc>
        <w:tc>
          <w:tcPr/>
          <w:p>
            <w:pPr>
              <w:pStyle w:val="Compact"/>
            </w:pPr>
            <w:r>
              <w:t xml:space="preserve">NIST SP 800-53 Rev 5 IR-4</w:t>
            </w:r>
          </w:p>
        </w:tc>
      </w:tr>
      <w:tr>
        <w:tc>
          <w:tcPr/>
          <w:p>
            <w:pPr>
              <w:pStyle w:val="Compact"/>
            </w:pPr>
            <w:r>
              <w:t xml:space="preserve">IR-6</w:t>
            </w:r>
          </w:p>
        </w:tc>
        <w:tc>
          <w:tcPr/>
          <w:p>
            <w:pPr>
              <w:pStyle w:val="Compact"/>
            </w:pPr>
            <w:r>
              <w:t xml:space="preserve">Incident Reporting</w:t>
            </w:r>
          </w:p>
        </w:tc>
        <w:tc>
          <w:tcPr/>
          <w:p>
            <w:pPr>
              <w:pStyle w:val="Compact"/>
            </w:pPr>
            <w:r>
              <w:t xml:space="preserve">No formal incident reporting chain; CISA notification timing undocumented</w:t>
            </w:r>
          </w:p>
        </w:tc>
        <w:tc>
          <w:tcPr/>
          <w:p>
            <w:pPr>
              <w:pStyle w:val="Compact"/>
            </w:pPr>
            <w:r>
              <w:t xml:space="preserve">IR plan documents 1-hour CISA reporting requirement; communication templates drafted for major incident notification; ServiceNow incident record provides timestamped documentation chain for reporting evidence</w:t>
            </w:r>
          </w:p>
        </w:tc>
        <w:tc>
          <w:tcPr/>
          <w:p>
            <w:pPr>
              <w:pStyle w:val="Compact"/>
            </w:pPr>
            <w:r>
              <w:t xml:space="preserve">NIST SP 800-53 Rev 5 IR-6; OMB M-24-04 (current-year FISMA guidance)</w:t>
            </w:r>
          </w:p>
        </w:tc>
      </w:tr>
      <w:tr>
        <w:tc>
          <w:tcPr/>
          <w:p>
            <w:pPr>
              <w:pStyle w:val="Compact"/>
            </w:pPr>
            <w:r>
              <w:t xml:space="preserve">IR-8</w:t>
            </w:r>
          </w:p>
        </w:tc>
        <w:tc>
          <w:tcPr/>
          <w:p>
            <w:pPr>
              <w:pStyle w:val="Compact"/>
            </w:pPr>
            <w:r>
              <w:t xml:space="preserve">Incident Response Plan</w:t>
            </w:r>
          </w:p>
        </w:tc>
        <w:tc>
          <w:tcPr/>
          <w:p>
            <w:pPr>
              <w:pStyle w:val="Compact"/>
            </w:pPr>
            <w:r>
              <w:t xml:space="preserve">No formal written IR plan; IR-8 is a documentation finding in every FedRAMP assessment</w:t>
            </w:r>
          </w:p>
        </w:tc>
        <w:tc>
          <w:tcPr/>
          <w:p>
            <w:pPr>
              <w:pStyle w:val="Compact"/>
            </w:pPr>
            <w:r>
              <w:t xml:space="preserve">Written IR plan covering all NIST 800-61 phases; seven required artifacts defined and authored; annual test and tabletop exercise schedule documented; assessors can be shown all artifacts with current review dates</w:t>
            </w:r>
          </w:p>
        </w:tc>
        <w:tc>
          <w:tcPr/>
          <w:p>
            <w:pPr>
              <w:pStyle w:val="Compact"/>
            </w:pPr>
            <w:r>
              <w:t xml:space="preserve">NIST SP 800-53 Rev 5 IR-8; NIST SP 800-61 Rev 3 (Rev 2 phase names retained as internal convention)</w:t>
            </w:r>
          </w:p>
        </w:tc>
      </w:tr>
    </w:tbl>
    <w:p>
      <w:r>
        <w:pict>
          <v:rect style="width:0;height:1.5pt" o:hralign="center" o:hrstd="t" o:hr="t"/>
        </w:pict>
      </w:r>
    </w:p>
    <w:bookmarkStart w:id="220" w:name="X63b34faf06f50b6194126683a8106bcb6deaf58"/>
    <w:p>
      <w:pPr>
        <w:pStyle w:val="Heading2"/>
      </w:pPr>
      <w:r>
        <w:t xml:space="preserve">FedRAMP 20x Key Security Indicator Alignment</w:t>
      </w:r>
    </w:p>
    <w:p>
      <w:pPr>
        <w:pStyle w:val="FirstParagraph"/>
      </w:pPr>
      <w:r>
        <w:t xml:space="preserve">FedRAMP 20x replaces the point-in-time assessment model with continuous Key Security Indicators (KSIs) evaluated through machine-readable evidence. The controls this document closes map to two CR26 KSI themes — KSI-MLA (which subsumes both the audit and the detection dimensions) and KSI-INR:</w:t>
      </w:r>
    </w:p>
    <w:p>
      <w:pPr>
        <w:pStyle w:val="BodyText"/>
      </w:pPr>
      <w:r>
        <w:rPr>
          <w:b/>
          <w:bCs/>
        </w:rPr>
        <w:t xml:space="preserve">KSI-MLA (Monitoring, Logging, and Auditing) — audit evidence:</w:t>
      </w:r>
      <w:r>
        <w:t xml:space="preserve"> </w:t>
      </w:r>
      <w:r>
        <w:t xml:space="preserve">The Sentinel alert history provides machine-readable evidence that AU-6 review is occurring. The Log Analytics retention configuration export confirms AU-11 compliance. FedRAMP 20x automation queries</w:t>
      </w:r>
      <w:r>
        <w:t xml:space="preserve"> </w:t>
      </w:r>
      <w:r>
        <w:rPr>
          <w:rStyle w:val="VerbatimChar"/>
        </w:rPr>
        <w:t xml:space="preserve">SecurityAlert</w:t>
      </w:r>
      <w:r>
        <w:t xml:space="preserve"> </w:t>
      </w:r>
      <w:r>
        <w:t xml:space="preserve">and</w:t>
      </w:r>
      <w:r>
        <w:t xml:space="preserve"> </w:t>
      </w:r>
      <w:r>
        <w:rPr>
          <w:rStyle w:val="VerbatimChar"/>
        </w:rPr>
        <w:t xml:space="preserve">SecurityIncident</w:t>
      </w:r>
      <w:r>
        <w:t xml:space="preserve"> </w:t>
      </w:r>
      <w:r>
        <w:t xml:space="preserve">tables directly to verify alert frequency and incident response timestamps — no manual evidence package required.</w:t>
      </w:r>
    </w:p>
    <w:p>
      <w:pPr>
        <w:pStyle w:val="BodyText"/>
      </w:pPr>
      <w:r>
        <w:rPr>
          <w:b/>
          <w:bCs/>
        </w:rPr>
        <w:t xml:space="preserve">KSI-MLA (Monitoring, Logging, and Auditing) — detection evidence:</w:t>
      </w:r>
      <w:r>
        <w:t xml:space="preserve"> </w:t>
      </w:r>
      <w:r>
        <w:t xml:space="preserve">The 20-rule detection library, UEBA scores, and Defender for Endpoint integration provide continuous SI-4 evidence. The detection automation can query Sentinel for the number of analytics rules in enabled state, the last alert firing timestamp, and the MTTD metric across the last 30 days. A Sentinel workspace with zero enabled rules or zero alerts in 30 days fails the KSI-MLA automated check.</w:t>
      </w:r>
    </w:p>
    <w:p>
      <w:pPr>
        <w:pStyle w:val="BodyText"/>
      </w:pPr>
      <w:r>
        <w:rPr>
          <w:b/>
          <w:bCs/>
        </w:rPr>
        <w:t xml:space="preserve">KSI-INR (Incident Response):</w:t>
      </w:r>
      <w:r>
        <w:t xml:space="preserve"> </w:t>
      </w:r>
      <w:r>
        <w:t xml:space="preserve">FedRAMP 20x KSI-INR automation verifies that the Sentinel incident workflow produces complete incident records: incident created, incident assigned, incident closed with classification. The seven IR artifacts (IR-8) remain documentation requirements — FedRAMP 20x does not automate document review, but the machine-readable evidence from Sentinel reduces the documentation burden for the controls that produce automated outputs.</w:t>
      </w:r>
    </w:p>
    <w:p>
      <w:pPr>
        <w:pStyle w:val="BodyText"/>
      </w:pPr>
      <w:r>
        <w:t xml:space="preserve">The shift from periodic ConMon reporting to continuous KSI evaluation means that detection gaps visible only at assessment time are now visible continuously. A detection rule that goes disabled, a connector that stops ingesting, or a MTTD metric that drifts beyond the baseline will surface in the KSI dashboard before the next assessment cycle. The discipline required to pass FedRAMP 20x KSI-MLA and KSI-INR is the same discipline required to operate an effective SIEM — the controls and the operations are now the same artifact.</w:t>
      </w:r>
    </w:p>
    <w:bookmarkEnd w:id="220"/>
    <w:bookmarkStart w:id="221" w:name="draft-proposal-subject-to-review-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221"/>
    <w:p>
      <w:pPr>
        <w:pStyle w:val="BodyText"/>
      </w:pPr>
      <w:r>
        <w:rPr>
          <w:b/>
          <w:bCs/>
        </w:rPr>
        <w:t xml:space="preserve">Provisional position.</w:t>
      </w:r>
      <w:r>
        <w:t xml:space="preserve"> </w:t>
      </w:r>
      <w:r>
        <w:t xml:space="preserve">This book was drafted at temporary series slot 23; its</w:t>
      </w:r>
      <w:r>
        <w:t xml:space="preserve"> </w:t>
      </w:r>
      <w:r>
        <w:t xml:space="preserve">intended home is</w:t>
      </w:r>
      <w:r>
        <w:t xml:space="preserve"> </w:t>
      </w:r>
      <w:r>
        <w:rPr>
          <w:b/>
          <w:bCs/>
        </w:rPr>
        <w:t xml:space="preserve">Volume III (Security Operations)</w:t>
      </w:r>
      <w:r>
        <w:t xml:space="preserve">, after the SIEM/XDR book.</w:t>
      </w:r>
      <w:r>
        <w:t xml:space="preserve"> </w:t>
      </w:r>
      <w:r>
        <w:t xml:space="preserve">Cross-references name other books by</w:t>
      </w:r>
      <w:r>
        <w:t xml:space="preserve"> </w:t>
      </w:r>
      <w:r>
        <w:rPr>
          <w:b/>
          <w:bCs/>
        </w:rPr>
        <w:t xml:space="preserve">title and role</w:t>
      </w:r>
      <w:r>
        <w:t xml:space="preserve">, not number, so the</w:t>
      </w:r>
      <w:r>
        <w:t xml:space="preserve"> </w:t>
      </w:r>
      <w:r>
        <w:t xml:space="preserve">series-wide renumber does not break them.</w:t>
      </w:r>
    </w:p>
    <w:p>
      <w:pPr>
        <w:pStyle w:val="BodyText"/>
      </w:pPr>
      <w:r>
        <w:rPr>
          <w:b/>
          <w:bCs/>
        </w:rPr>
        <w:t xml:space="preserve">Series Context</w:t>
      </w:r>
      <w:r>
        <w:t xml:space="preserve"> </w:t>
      </w:r>
      <w:r>
        <w:t xml:space="preserve">— The Management-Plane Coordination Doctrine (Executive</w:t>
      </w:r>
      <w:r>
        <w:t xml:space="preserve"> </w:t>
      </w:r>
      <w:r>
        <w:t xml:space="preserve">Summary) splits the management plane in two: actuation is platform-native;</w:t>
      </w:r>
      <w:r>
        <w:t xml:space="preserve"> </w:t>
      </w:r>
      <w:r>
        <w:t xml:space="preserve">governance is unified. This book is the</w:t>
      </w:r>
      <w:r>
        <w:t xml:space="preserve"> </w:t>
      </w:r>
      <w:r>
        <w:rPr>
          <w:b/>
          <w:bCs/>
        </w:rPr>
        <w:t xml:space="preserve">unified-governance half made real</w:t>
      </w:r>
      <w:r>
        <w:t xml:space="preserve"> </w:t>
      </w:r>
      <w:r>
        <w:t xml:space="preserve">—</w:t>
      </w:r>
      <w:r>
        <w:t xml:space="preserve"> </w:t>
      </w:r>
      <w:r>
        <w:t xml:space="preserve">the evidence fabric where every native stack (Microsoft, AWS, Oracle, VMware,</w:t>
      </w:r>
      <w:r>
        <w:t xml:space="preserve"> </w:t>
      </w:r>
      <w:r>
        <w:t xml:space="preserve">Red Hat), every network appliance (Cisco / Palo Alto / Juniper), and every OS</w:t>
      </w:r>
      <w:r>
        <w:t xml:space="preserve"> </w:t>
      </w:r>
      <w:r>
        <w:t xml:space="preserve">agent emits the</w:t>
      </w:r>
      <w:r>
        <w:t xml:space="preserve"> </w:t>
      </w:r>
      <w:r>
        <w:rPr>
          <w:b/>
          <w:bCs/>
        </w:rPr>
        <w:t xml:space="preserve">same machine-readable record</w:t>
      </w:r>
      <w:r>
        <w:t xml:space="preserve"> </w:t>
      </w:r>
      <w:r>
        <w:t xml:space="preserve">into one lake, correlated on</w:t>
      </w:r>
      <w:r>
        <w:t xml:space="preserve"> </w:t>
      </w:r>
      <w:r>
        <w:t xml:space="preserve">one authoritative asset identity, and delivered up to</w:t>
      </w:r>
      <w:r>
        <w:t xml:space="preserve"> </w:t>
      </w:r>
      <w:r>
        <w:rPr>
          <w:b/>
          <w:bCs/>
        </w:rPr>
        <w:t xml:space="preserve">CISA CDM</w:t>
      </w:r>
      <w:r>
        <w:t xml:space="preserve"> </w:t>
      </w:r>
      <w:r>
        <w:t xml:space="preserve">and the</w:t>
      </w:r>
      <w:r>
        <w:t xml:space="preserve"> </w:t>
      </w:r>
      <w:r>
        <w:t xml:space="preserve">FedRAMP 20x KSI pipeline. It is a truth-plane function (plane 6): the fabric is</w:t>
      </w:r>
      <w:r>
        <w:t xml:space="preserve"> </w:t>
      </w:r>
      <w:r>
        <w:t xml:space="preserve">depended on, not re-platformed.</w:t>
      </w:r>
    </w:p>
    <w:bookmarkEnd w:id="222"/>
    <w:bookmarkStart w:id="224" w:name="what-this-document-addresses-6"/>
    <w:p>
      <w:pPr>
        <w:pStyle w:val="Heading1"/>
      </w:pPr>
      <w:r>
        <w:t xml:space="preserve">What This Document Addresses</w:t>
      </w:r>
    </w:p>
    <w:p>
      <w:pPr>
        <w:pStyle w:val="FirstParagraph"/>
      </w:pPr>
      <w:r>
        <w:t xml:space="preserve">A multi-cloud federal agency runs five or more management stacks, and each one</w:t>
      </w:r>
      <w:r>
        <w:t xml:space="preserve"> </w:t>
      </w:r>
      <w:r>
        <w:t xml:space="preserve">produces its own telemetry in its own schema: Azure Update Manager reports</w:t>
      </w:r>
      <w:r>
        <w:t xml:space="preserve"> </w:t>
      </w:r>
      <w:r>
        <w:t xml:space="preserve">patch state one way, AWS Systems Manager another, vSphere Lifecycle Manager a</w:t>
      </w:r>
      <w:r>
        <w:t xml:space="preserve"> </w:t>
      </w:r>
      <w:r>
        <w:t xml:space="preserve">third, a Palo Alto firewall a fourth, a Red Hat host a fifth. Five stacks, five</w:t>
      </w:r>
      <w:r>
        <w:t xml:space="preserve"> </w:t>
      </w:r>
      <w:r>
        <w:t xml:space="preserve">inventories, five log formats. An assessor who asks</w:t>
      </w:r>
      <w:r>
        <w:t xml:space="preserve"> </w:t>
      </w:r>
      <w:r>
        <w:t xml:space="preserve">“is CVE-X remediated across</w:t>
      </w:r>
      <w:r>
        <w:t xml:space="preserve"> </w:t>
      </w:r>
      <w:r>
        <w:t xml:space="preserve">the whole estate, and prove it”</w:t>
      </w:r>
      <w:r>
        <w:t xml:space="preserve"> </w:t>
      </w:r>
      <w:r>
        <w:t xml:space="preserve">cannot be answered by five partial views that</w:t>
      </w:r>
      <w:r>
        <w:t xml:space="preserve"> </w:t>
      </w:r>
      <w:r>
        <w:t xml:space="preserve">do not reconcile.</w:t>
      </w:r>
    </w:p>
    <w:p>
      <w:pPr>
        <w:pStyle w:val="BodyText"/>
      </w:pPr>
      <w:r>
        <w:t xml:space="preserve">The</w:t>
      </w:r>
      <w:r>
        <w:t xml:space="preserve"> </w:t>
      </w:r>
      <w:r>
        <w:rPr>
          <w:b/>
          <w:bCs/>
        </w:rPr>
        <w:t xml:space="preserve">evidence fabric</w:t>
      </w:r>
      <w:r>
        <w:t xml:space="preserve"> </w:t>
      </w:r>
      <w:r>
        <w:t xml:space="preserve">is the answer: a single, normalized</w:t>
      </w:r>
      <w:r>
        <w:t xml:space="preserve"> </w:t>
      </w:r>
      <w:r>
        <w:rPr>
          <w:b/>
          <w:bCs/>
        </w:rPr>
        <w:t xml:space="preserve">evidence contract</w:t>
      </w:r>
      <w:r>
        <w:t xml:space="preserve"> </w:t>
      </w:r>
      <w:r>
        <w:t xml:space="preserve">that every source emits into one lake,</w:t>
      </w:r>
      <w:r>
        <w:t xml:space="preserve"> </w:t>
      </w:r>
      <w:r>
        <w:rPr>
          <w:b/>
          <w:bCs/>
        </w:rPr>
        <w:t xml:space="preserve">correlated on one authoritative asset</w:t>
      </w:r>
      <w:r>
        <w:rPr>
          <w:b/>
          <w:bCs/>
        </w:rPr>
        <w:t xml:space="preserve"> </w:t>
      </w:r>
      <w:r>
        <w:rPr>
          <w:b/>
          <w:bCs/>
        </w:rPr>
        <w:t xml:space="preserve">identity</w:t>
      </w:r>
      <w:r>
        <w:t xml:space="preserve">, and delivered to the two consumers a federal agency owes —</w:t>
      </w:r>
      <w:r>
        <w:t xml:space="preserve"> </w:t>
      </w:r>
      <w:r>
        <w:rPr>
          <w:b/>
          <w:bCs/>
        </w:rPr>
        <w:t xml:space="preserve">CISA</w:t>
      </w:r>
      <w:r>
        <w:rPr>
          <w:b/>
          <w:bCs/>
        </w:rPr>
        <w:t xml:space="preserve"> </w:t>
      </w:r>
      <w:r>
        <w:rPr>
          <w:b/>
          <w:bCs/>
        </w:rPr>
        <w:t xml:space="preserve">CDM</w:t>
      </w:r>
      <w:r>
        <w:t xml:space="preserve"> </w:t>
      </w:r>
      <w:r>
        <w:t xml:space="preserve">(enterprise asset/vulnerability/configuration visibility) and the</w:t>
      </w:r>
      <w:r>
        <w:t xml:space="preserve"> </w:t>
      </w:r>
      <w:r>
        <w:rPr>
          <w:b/>
          <w:bCs/>
        </w:rPr>
        <w:t xml:space="preserve">FedRAMP 20x KSI</w:t>
      </w:r>
      <w:r>
        <w:t xml:space="preserve"> </w:t>
      </w:r>
      <w:r>
        <w:t xml:space="preserve">evidence pipeline. This book defines that contract, names</w:t>
      </w:r>
      <w:r>
        <w:t xml:space="preserve"> </w:t>
      </w:r>
      <w:r>
        <w:t xml:space="preserve">its FedRAMP-Moderate realizations, and closes the AU/CA/SI controls of the</w:t>
      </w:r>
      <w:r>
        <w:t xml:space="preserve"> </w:t>
      </w:r>
      <w:r>
        <w:t xml:space="preserve">telemetry slot — two of which (AU-3 and AU-12(1)) only a cross-surface fabric</w:t>
      </w:r>
      <w:r>
        <w:t xml:space="preserve"> </w:t>
      </w:r>
      <w:r>
        <w:t xml:space="preserve">can close.</w:t>
      </w:r>
    </w:p>
    <w:bookmarkStart w:id="223" w:name="X64dd34d1ebb66febe38645181076aa089b96c49"/>
    <w:p>
      <w:pPr>
        <w:pStyle w:val="Heading2"/>
      </w:pPr>
      <w:r>
        <w:t xml:space="preserve">What this book is</w:t>
      </w:r>
      <w:r>
        <w:t xml:space="preserve"> </w:t>
      </w:r>
      <w:r>
        <w:rPr>
          <w:i/>
          <w:iCs/>
        </w:rPr>
        <w:t xml:space="preserve">not</w:t>
      </w:r>
      <w:r>
        <w:t xml:space="preserve"> </w:t>
      </w:r>
      <w:r>
        <w:t xml:space="preserve">— the boundary with the SIEM/XDR and ConMon books</w:t>
      </w:r>
    </w:p>
    <w:p>
      <w:pPr>
        <w:pStyle w:val="FirstParagraph"/>
      </w:pPr>
      <w:r>
        <w:t xml:space="preserve">This is not the detection-engineering book. The</w:t>
      </w:r>
      <w:r>
        <w:t xml:space="preserve"> </w:t>
      </w:r>
      <w:r>
        <w:rPr>
          <w:b/>
          <w:bCs/>
        </w:rPr>
        <w:t xml:space="preserve">SIEM / XDR Detection</w:t>
      </w:r>
      <w:r>
        <w:t xml:space="preserve"> </w:t>
      </w:r>
      <w:r>
        <w:t xml:space="preserve">book</w:t>
      </w:r>
      <w:r>
        <w:t xml:space="preserve"> </w:t>
      </w:r>
      <w:r>
        <w:t xml:space="preserve">owns</w:t>
      </w:r>
      <w:r>
        <w:t xml:space="preserve"> </w:t>
      </w:r>
      <w:r>
        <w:rPr>
          <w:i/>
          <w:iCs/>
        </w:rPr>
        <w:t xml:space="preserve">analytics and response</w:t>
      </w:r>
      <w:r>
        <w:t xml:space="preserve"> </w:t>
      </w:r>
      <w:r>
        <w:t xml:space="preserve">— KQL/correlation rules, UEBA, playbooks — the</w:t>
      </w:r>
      <w:r>
        <w:t xml:space="preserve"> </w:t>
      </w:r>
      <w:r>
        <w:t xml:space="preserve">logic that finds a threat in the data. This book owns the layer</w:t>
      </w:r>
      <w:r>
        <w:t xml:space="preserve"> </w:t>
      </w:r>
      <w:r>
        <w:rPr>
          <w:i/>
          <w:iCs/>
        </w:rPr>
        <w:t xml:space="preserve">beneath</w:t>
      </w:r>
      <w:r>
        <w:t xml:space="preserve"> </w:t>
      </w:r>
      <w:r>
        <w:t xml:space="preserve">that:</w:t>
      </w:r>
      <w:r>
        <w:t xml:space="preserve"> </w:t>
      </w:r>
      <w:r>
        <w:rPr>
          <w:b/>
          <w:bCs/>
        </w:rPr>
        <w:t xml:space="preserve">getting every source’s data into one normalized, correlated contract in the</w:t>
      </w:r>
      <w:r>
        <w:rPr>
          <w:b/>
          <w:bCs/>
        </w:rPr>
        <w:t xml:space="preserve"> </w:t>
      </w:r>
      <w:r>
        <w:rPr>
          <w:b/>
          <w:bCs/>
        </w:rPr>
        <w:t xml:space="preserve">first place.</w:t>
      </w:r>
      <w:r>
        <w:t xml:space="preserve"> </w:t>
      </w:r>
      <w:r>
        <w:t xml:space="preserve">And it is not the authorization book: the</w:t>
      </w:r>
      <w:r>
        <w:t xml:space="preserve"> </w:t>
      </w:r>
      <w:r>
        <w:rPr>
          <w:b/>
          <w:bCs/>
        </w:rPr>
        <w:t xml:space="preserve">Authorization Package</w:t>
      </w:r>
      <w:r>
        <w:rPr>
          <w:b/>
          <w:bCs/>
        </w:rPr>
        <w:t xml:space="preserve"> </w:t>
      </w:r>
      <w:r>
        <w:rPr>
          <w:b/>
          <w:bCs/>
        </w:rPr>
        <w:t xml:space="preserve">&amp; ConMon</w:t>
      </w:r>
      <w:r>
        <w:t xml:space="preserve"> </w:t>
      </w:r>
      <w:r>
        <w:t xml:space="preserve">book assembles the OSCAL AP/AR/POA&amp;M bundle</w:t>
      </w:r>
      <w:r>
        <w:t xml:space="preserve"> </w:t>
      </w:r>
      <w:r>
        <w:rPr>
          <w:i/>
          <w:iCs/>
        </w:rPr>
        <w:t xml:space="preserve">from</w:t>
      </w:r>
      <w:r>
        <w:t xml:space="preserve"> </w:t>
      </w:r>
      <w:r>
        <w:t xml:space="preserve">the fabric’s</w:t>
      </w:r>
      <w:r>
        <w:t xml:space="preserve"> </w:t>
      </w:r>
      <w:r>
        <w:t xml:space="preserve">output. The fabric is upstream of both — detection analyzes it, the OSCAL bundle</w:t>
      </w:r>
      <w:r>
        <w:t xml:space="preserve"> </w:t>
      </w:r>
      <w:r>
        <w:t xml:space="preserve">attests it.</w:t>
      </w:r>
    </w:p>
    <w:bookmarkEnd w:id="223"/>
    <w:bookmarkEnd w:id="224"/>
    <w:bookmarkStart w:id="225" w:name="Xd182ad8cb28a31c12909d128938ba988ecf23ab"/>
    <w:p>
      <w:pPr>
        <w:pStyle w:val="Heading1"/>
      </w:pPr>
      <w:r>
        <w:t xml:space="preserve">The Evidence Contract — the Coordination Mechanism (AU-3)</w:t>
      </w:r>
    </w:p>
    <w:p>
      <w:pPr>
        <w:pStyle w:val="FirstParagraph"/>
      </w:pPr>
      <w:r>
        <w:t xml:space="preserve">Coordination across heterogeneous stacks is not a console; it is a</w:t>
      </w:r>
      <w:r>
        <w:t xml:space="preserve"> </w:t>
      </w:r>
      <w:r>
        <w:rPr>
          <w:b/>
          <w:bCs/>
        </w:rPr>
        <w:t xml:space="preserve">contract</w:t>
      </w:r>
      <w:r>
        <w:t xml:space="preserve">.</w:t>
      </w:r>
      <w:r>
        <w:t xml:space="preserve"> </w:t>
      </w:r>
      <w:r>
        <w:t xml:space="preserve">Every source — a CSP patch stack, a NEM appliance, an OS agent — must emit a</w:t>
      </w:r>
      <w:r>
        <w:t xml:space="preserve"> </w:t>
      </w:r>
      <w:r>
        <w:t xml:space="preserve">record with the same fields, regardless of what produced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rPr>
                <w:b/>
                <w:bCs/>
              </w:rPr>
              <w:t xml:space="preserve">Authoritative name/address from the naming plane (IPAM/DDI)</w:t>
            </w:r>
            <w:r>
              <w:t xml:space="preserve"> </w:t>
            </w:r>
            <w:r>
              <w:t xml:space="preserve">— the join key</w:t>
            </w:r>
          </w:p>
        </w:tc>
      </w:tr>
      <w:tr>
        <w:tc>
          <w:tcPr/>
          <w:p>
            <w:pPr>
              <w:pStyle w:val="Compact"/>
            </w:pPr>
            <w:r>
              <w:rPr>
                <w:rStyle w:val="VerbatimChar"/>
              </w:rPr>
              <w:t xml:space="preserve">source</w:t>
            </w:r>
          </w:p>
        </w:tc>
        <w:tc>
          <w:tcPr/>
          <w:p>
            <w:pPr>
              <w:pStyle w:val="Compact"/>
            </w:pPr>
            <w:r>
              <w:t xml:space="preserve">Which stack/appliance/agent produced the record</w:t>
            </w:r>
          </w:p>
        </w:tc>
      </w:tr>
      <w:tr>
        <w:tc>
          <w:tcPr/>
          <w:p>
            <w:pPr>
              <w:pStyle w:val="Compact"/>
            </w:pPr>
            <w:r>
              <w:rPr>
                <w:rStyle w:val="VerbatimChar"/>
              </w:rPr>
              <w:t xml:space="preserve">surface</w:t>
            </w:r>
          </w:p>
        </w:tc>
        <w:tc>
          <w:tcPr/>
          <w:p>
            <w:pPr>
              <w:pStyle w:val="Compact"/>
            </w:pPr>
            <w:r>
              <w:t xml:space="preserve">CSP / NEM / OS</w:t>
            </w:r>
          </w:p>
        </w:tc>
      </w:tr>
      <w:tr>
        <w:tc>
          <w:tcPr/>
          <w:p>
            <w:pPr>
              <w:pStyle w:val="Compact"/>
            </w:pPr>
            <w:r>
              <w:rPr>
                <w:rStyle w:val="VerbatimChar"/>
              </w:rPr>
              <w:t xml:space="preserve">control</w:t>
            </w:r>
          </w:p>
        </w:tc>
        <w:tc>
          <w:tcPr/>
          <w:p>
            <w:pPr>
              <w:pStyle w:val="Compact"/>
            </w:pPr>
            <w:r>
              <w:t xml:space="preserve">The NIST control the record is evidence for (e.g., SI-2, SC-8, CM-6)</w:t>
            </w:r>
          </w:p>
        </w:tc>
      </w:tr>
      <w:tr>
        <w:tc>
          <w:tcPr/>
          <w:p>
            <w:pPr>
              <w:pStyle w:val="Compact"/>
            </w:pPr>
            <w:r>
              <w:rPr>
                <w:rStyle w:val="VerbatimChar"/>
              </w:rPr>
              <w:t xml:space="preserve">state</w:t>
            </w:r>
          </w:p>
        </w:tc>
        <w:tc>
          <w:tcPr/>
          <w:p>
            <w:pPr>
              <w:pStyle w:val="Compact"/>
            </w:pPr>
            <w:r>
              <w:t xml:space="preserve">The measured value (patch level, baseline conformance, cipher, posture)</w:t>
            </w:r>
          </w:p>
        </w:tc>
      </w:tr>
      <w:tr>
        <w:tc>
          <w:tcPr/>
          <w:p>
            <w:pPr>
              <w:pStyle w:val="Compact"/>
            </w:pPr>
            <w:r>
              <w:rPr>
                <w:rStyle w:val="VerbatimChar"/>
              </w:rPr>
              <w:t xml:space="preserve">verdict</w:t>
            </w:r>
          </w:p>
        </w:tc>
        <w:tc>
          <w:tcPr/>
          <w:p>
            <w:pPr>
              <w:pStyle w:val="Compact"/>
            </w:pPr>
            <w:r>
              <w:t xml:space="preserve">pass / warn / fail against the intended state</w:t>
            </w:r>
          </w:p>
        </w:tc>
      </w:tr>
      <w:tr>
        <w:tc>
          <w:tcPr/>
          <w:p>
            <w:pPr>
              <w:pStyle w:val="Compact"/>
            </w:pPr>
            <w:r>
              <w:rPr>
                <w:rStyle w:val="VerbatimChar"/>
              </w:rPr>
              <w:t xml:space="preserve">observed_at</w:t>
            </w:r>
          </w:p>
        </w:tc>
        <w:tc>
          <w:tcPr/>
          <w:p>
            <w:pPr>
              <w:pStyle w:val="Compact"/>
            </w:pPr>
            <w:r>
              <w:t xml:space="preserve">Timestamp (for time-correlation)</w:t>
            </w:r>
          </w:p>
        </w:tc>
      </w:tr>
      <w:tr>
        <w:tc>
          <w:tcPr/>
          <w:p>
            <w:pPr>
              <w:pStyle w:val="Compact"/>
            </w:pPr>
            <w:r>
              <w:rPr>
                <w:rStyle w:val="VerbatimChar"/>
              </w:rPr>
              <w:t xml:space="preserve">disposition</w:t>
            </w:r>
          </w:p>
        </w:tc>
        <w:tc>
          <w:tcPr/>
          <w:p>
            <w:pPr>
              <w:pStyle w:val="Compact"/>
            </w:pPr>
            <w:r>
              <w:t xml:space="preserve">Applied / accepted-risk (POA&amp;M ref) / open</w:t>
            </w:r>
          </w:p>
        </w:tc>
      </w:tr>
    </w:tbl>
    <w:p>
      <w:pPr>
        <w:pStyle w:val="BodyText"/>
      </w:pPr>
      <w:r>
        <w:t xml:space="preserve">This is</w:t>
      </w:r>
      <w:r>
        <w:t xml:space="preserve"> </w:t>
      </w:r>
      <w:r>
        <w:rPr>
          <w:b/>
          <w:bCs/>
        </w:rPr>
        <w:t xml:space="preserve">AU-3 (Content of Audit Records)</w:t>
      </w:r>
      <w:r>
        <w:t xml:space="preserve"> </w:t>
      </w:r>
      <w:r>
        <w:t xml:space="preserve">raised to a cross-surface contract:</w:t>
      </w:r>
      <w:r>
        <w:t xml:space="preserve"> </w:t>
      </w:r>
      <w:r>
        <w:t xml:space="preserve">the record’s</w:t>
      </w:r>
      <w:r>
        <w:t xml:space="preserve"> </w:t>
      </w:r>
      <w:r>
        <w:rPr>
          <w:i/>
          <w:iCs/>
        </w:rPr>
        <w:t xml:space="preserve">content</w:t>
      </w:r>
      <w:r>
        <w:t xml:space="preserve"> </w:t>
      </w:r>
      <w:r>
        <w:t xml:space="preserve">is standardized so records from any source are</w:t>
      </w:r>
      <w:r>
        <w:t xml:space="preserve"> </w:t>
      </w:r>
      <w:r>
        <w:t xml:space="preserve">comparable, joinable, and rollup-able. It is a</w:t>
      </w:r>
      <w:r>
        <w:t xml:space="preserve"> </w:t>
      </w:r>
      <w:r>
        <w:rPr>
          <w:b/>
          <w:bCs/>
        </w:rPr>
        <w:t xml:space="preserve">Closure Necessity</w:t>
      </w:r>
      <w:r>
        <w:t xml:space="preserve"> </w:t>
      </w:r>
      <w:r>
        <w:t xml:space="preserve">— without a</w:t>
      </w:r>
      <w:r>
        <w:t xml:space="preserve"> </w:t>
      </w:r>
      <w:r>
        <w:t xml:space="preserve">common contract, the five stacks cannot produce one compliance picture, and no</w:t>
      </w:r>
      <w:r>
        <w:t xml:space="preserve"> </w:t>
      </w:r>
      <w:r>
        <w:t xml:space="preserve">amount of dashboarding after the fact recovers a schema the sources never</w:t>
      </w:r>
      <w:r>
        <w:t xml:space="preserve"> </w:t>
      </w:r>
      <w:r>
        <w:t xml:space="preserve">agreed on.</w:t>
      </w:r>
    </w:p>
    <w:bookmarkEnd w:id="225"/>
    <w:bookmarkStart w:id="227" w:name="Xf668fd807fbcbb7b15411512bb4ed5f121414b7"/>
    <w:p>
      <w:pPr>
        <w:pStyle w:val="Heading1"/>
      </w:pPr>
      <w:r>
        <w:t xml:space="preserve">The Join Key — Authoritative Asset Identity + Time (AU-12(1))</w:t>
      </w:r>
    </w:p>
    <w:p>
      <w:pPr>
        <w:pStyle w:val="FirstParagraph"/>
      </w:pPr>
      <w:r>
        <w:t xml:space="preserve">Aggregating records is not the same as correlating them. Two records describe</w:t>
      </w:r>
      <w:r>
        <w:t xml:space="preserve"> </w:t>
      </w:r>
      <w:r>
        <w:t xml:space="preserve">the same asset only if they carry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which</w:t>
      </w:r>
      <w:r>
        <w:t xml:space="preserve"> </w:t>
      </w:r>
      <w:r>
        <w:t xml:space="preserve">is why the fabric’s correlation key is the naming plane’s IP/hostname (CM-8),</w:t>
      </w:r>
      <w:r>
        <w:t xml:space="preserve"> </w:t>
      </w:r>
      <w:r>
        <w:t xml:space="preserve">not each stack’s local inventory id. Add</w:t>
      </w:r>
      <w:r>
        <w:t xml:space="preserve"> </w:t>
      </w:r>
      <w:r>
        <w:rPr>
          <w:rStyle w:val="VerbatimChar"/>
        </w:rPr>
        <w:t xml:space="preserve">observed_at</w:t>
      </w:r>
      <w:r>
        <w:t xml:space="preserve"> </w:t>
      </w:r>
      <w:r>
        <w:t xml:space="preserve">and the fabric produces a</w:t>
      </w:r>
      <w:r>
        <w:t xml:space="preserve"> </w:t>
      </w:r>
      <w:r>
        <w:rPr>
          <w:b/>
          <w:bCs/>
        </w:rPr>
        <w:t xml:space="preserve">system-wide, time-correlated audit trail (AU-12(1))</w:t>
      </w:r>
      <w:r>
        <w:t xml:space="preserve">:</w:t>
      </w:r>
      <w:r>
        <w:t xml:space="preserve"> </w:t>
      </w:r>
      <w:r>
        <w:t xml:space="preserve">“as of 06:00, asset</w:t>
      </w:r>
      <w:r>
        <w:t xml:space="preserve"> </w:t>
      </w:r>
      <w:r>
        <w:rPr>
          <w:i/>
          <w:iCs/>
        </w:rPr>
        <w:t xml:space="preserve">A</w:t>
      </w:r>
      <w:r>
        <w:t xml:space="preserve"> </w:t>
      </w:r>
      <w:r>
        <w:t xml:space="preserve">was unpatched for CVE-X (from the patch stack), reachable on an unencrypted</w:t>
      </w:r>
      <w:r>
        <w:t xml:space="preserve"> </w:t>
      </w:r>
      <w:r>
        <w:t xml:space="preserve">segment (from the NEM telemetry), and out of baseline (from the config stack)”</w:t>
      </w:r>
      <w:r>
        <w:t xml:space="preserve"> </w:t>
      </w:r>
      <w:r>
        <w:t xml:space="preserve">— one correlated story about one asset, assembled from three surfaces.</w:t>
      </w:r>
    </w:p>
    <w:bookmarkStart w:id="226" w:name="X16a11e1ebc0bccfe4d020bc1be14cc1826f66b1"/>
    <w:p>
      <w:pPr>
        <w:pStyle w:val="Heading2"/>
      </w:pPr>
      <w:r>
        <w:t xml:space="preserve">Closure Necessity — correlation depends on the naming plane</w:t>
      </w:r>
    </w:p>
    <w:p>
      <w:pPr>
        <w:pStyle w:val="FirstParagraph"/>
      </w:pPr>
      <w:r>
        <w:t xml:space="preserve">You cannot build a system-wide audit trail across AWS, Azure, VMware, and Red</w:t>
      </w:r>
      <w:r>
        <w:t xml:space="preserve"> </w:t>
      </w:r>
      <w:r>
        <w:t xml:space="preserve">Hat without one authoritative asset identity to join on. AU-12(1) is therefore</w:t>
      </w:r>
      <w:r>
        <w:t xml:space="preserve"> </w:t>
      </w:r>
      <w:r>
        <w:t xml:space="preserve">downstream of the naming-plane necessity (IPAM/DDI, CM-8) and the federal asset-</w:t>
      </w:r>
      <w:r>
        <w:t xml:space="preserve"> </w:t>
      </w:r>
      <w:r>
        <w:t xml:space="preserve">visibility mandate (</w:t>
      </w:r>
      <w:r>
        <w:rPr>
          <w:b/>
          <w:bCs/>
        </w:rPr>
        <w:t xml:space="preserve">CISA BOD 23-01</w:t>
      </w:r>
      <w:r>
        <w:t xml:space="preserve">). This is the same join key the Patch &amp;</w:t>
      </w:r>
      <w:r>
        <w:t xml:space="preserve"> </w:t>
      </w:r>
      <w:r>
        <w:t xml:space="preserve">Systems Management book uses for SI-2 at scale — the fabric and the patch plane</w:t>
      </w:r>
      <w:r>
        <w:t xml:space="preserve"> </w:t>
      </w:r>
      <w:r>
        <w:t xml:space="preserve">share it.</w:t>
      </w:r>
    </w:p>
    <w:bookmarkEnd w:id="226"/>
    <w:bookmarkEnd w:id="227"/>
    <w:bookmarkStart w:id="228" w:name="X9b47ee01cbda959bddf69f4e6ea3be666b7da01"/>
    <w:p>
      <w:pPr>
        <w:pStyle w:val="Heading1"/>
      </w:pPr>
      <w:r>
        <w:t xml:space="preserve">Realizations — Aggregation, Coordination, and Delivery</w:t>
      </w:r>
    </w:p>
    <w:p>
      <w:pPr>
        <w:pStyle w:val="FirstParagraph"/>
      </w:pPr>
      <w:r>
        <w:t xml:space="preserve">The fabric is a contract, so more than one product can realize each role. Under</w:t>
      </w:r>
      <w:r>
        <w:t xml:space="preserve"> </w:t>
      </w:r>
      <w:r>
        <w:t xml:space="preserve">the agency’s Microsoft-preference rule (a Microsoft product is the default</w:t>
      </w:r>
      <w:r>
        <w:t xml:space="preserve"> </w:t>
      </w:r>
      <w:r>
        <w:rPr>
          <w:i/>
          <w:iCs/>
        </w:rPr>
        <w:t xml:space="preserve">when</w:t>
      </w:r>
      <w:r>
        <w:rPr>
          <w:i/>
          <w:iCs/>
        </w:rPr>
        <w:t xml:space="preserve"> </w:t>
      </w:r>
      <w:r>
        <w:rPr>
          <w:i/>
          <w:iCs/>
        </w:rPr>
        <w:t xml:space="preserve">it genuinely coordinates the multi-vendor surface at FedRAMP Moderate</w:t>
      </w:r>
      <w:r>
        <w:t xml:space="preserve"> </w:t>
      </w:r>
      <w:r>
        <w:t xml:space="preserve">— earned,</w:t>
      </w:r>
      <w:r>
        <w:t xml:space="preserve"> </w:t>
      </w:r>
      <w:r>
        <w:t xml:space="preserve">not automatic), the realizations are: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Default (earns it)</w:t>
            </w:r>
          </w:p>
        </w:tc>
        <w:tc>
          <w:tcPr/>
          <w:p>
            <w:pPr>
              <w:pStyle w:val="Compact"/>
            </w:pPr>
            <w:r>
              <w:t xml:space="preserve">Moderate alternative</w:t>
            </w:r>
          </w:p>
        </w:tc>
        <w:tc>
          <w:tcPr/>
          <w:p>
            <w:pPr>
              <w:pStyle w:val="Compact"/>
            </w:pPr>
            <w:r>
              <w:t xml:space="preserve">Notes</w:t>
            </w:r>
          </w:p>
        </w:tc>
      </w:tr>
      <w:tr>
        <w:tc>
          <w:tcPr/>
          <w:p>
            <w:pPr>
              <w:pStyle w:val="Compact"/>
            </w:pPr>
            <w:r>
              <w:rPr>
                <w:b/>
                <w:bCs/>
              </w:rPr>
              <w:t xml:space="preserve">Aggregation / analytics lake</w:t>
            </w:r>
          </w:p>
        </w:tc>
        <w:tc>
          <w:tcPr/>
          <w:p>
            <w:pPr>
              <w:pStyle w:val="Compact"/>
            </w:pPr>
            <w:r>
              <w:rPr>
                <w:b/>
                <w:bCs/>
              </w:rPr>
              <w:t xml:space="preserve">Microsoft Sentinel</w:t>
            </w:r>
            <w:r>
              <w:t xml:space="preserve"> </w:t>
            </w:r>
            <w:r>
              <w:t xml:space="preserve">— ingests AWS (Security Hub / GuardDuty / CloudTrail), OCI, GCP, and NEM syslog/CEF; FedRAMP-authorized</w:t>
            </w:r>
          </w:p>
        </w:tc>
        <w:tc>
          <w:tcPr/>
          <w:p>
            <w:pPr>
              <w:pStyle w:val="Compact"/>
            </w:pPr>
            <w:r>
              <w:rPr>
                <w:b/>
                <w:bCs/>
              </w:rPr>
              <w:t xml:space="preserve">Splunk Cloud Platform</w:t>
            </w:r>
            <w:r>
              <w:t xml:space="preserve"> </w:t>
            </w:r>
            <w:r>
              <w:t xml:space="preserve">(FedRAMP Moderate)</w:t>
            </w:r>
          </w:p>
        </w:tc>
        <w:tc>
          <w:tcPr/>
          <w:p>
            <w:pPr>
              <w:pStyle w:val="Compact"/>
            </w:pPr>
            <w:r>
              <w:t xml:space="preserve">Both owned — dual-SIEM redundancy, not a default/alternative choice. Sentinel is the primary cross-vendor ingestion lake by breadth of native connectors; Splunk runs the same evidence contract in parallel, providing audit-log continuity if either platform’s ingestion path fails</w:t>
            </w:r>
          </w:p>
        </w:tc>
      </w:tr>
      <w:tr>
        <w:tc>
          <w:tcPr/>
          <w:p>
            <w:pPr>
              <w:pStyle w:val="Compact"/>
            </w:pPr>
            <w:r>
              <w:rPr>
                <w:b/>
                <w:bCs/>
              </w:rPr>
              <w:t xml:space="preserve">Workflow / correlation hub / CMDB</w:t>
            </w:r>
          </w:p>
        </w:tc>
        <w:tc>
          <w:tcPr/>
          <w:p>
            <w:pPr>
              <w:pStyle w:val="Compact"/>
            </w:pPr>
            <w:r>
              <w:rPr>
                <w:b/>
                <w:bCs/>
              </w:rPr>
              <w:t xml:space="preserve">ServiceNow</w:t>
            </w:r>
            <w:r>
              <w:t xml:space="preserve"> </w:t>
            </w:r>
            <w:r>
              <w:t xml:space="preserve">(FedRAMP-authorized)</w:t>
            </w:r>
          </w:p>
        </w:tc>
        <w:tc>
          <w:tcPr/>
          <w:p>
            <w:pPr>
              <w:pStyle w:val="Compact"/>
            </w:pPr>
            <w:r>
              <w:t xml:space="preserve">BMC Helix</w:t>
            </w:r>
          </w:p>
        </w:tc>
        <w:tc>
          <w:tcPr/>
          <w:p>
            <w:pPr>
              <w:pStyle w:val="Compact"/>
            </w:pPr>
            <w:r>
              <w:rPr>
                <w:b/>
                <w:bCs/>
              </w:rPr>
              <w:t xml:space="preserve">CMDB reconciles to IPAM/DDI — it does not replace the naming-plane join key</w:t>
            </w:r>
          </w:p>
        </w:tc>
      </w:tr>
      <w:tr>
        <w:tc>
          <w:tcPr/>
          <w:p>
            <w:pPr>
              <w:pStyle w:val="Compact"/>
            </w:pPr>
            <w:r>
              <w:rPr>
                <w:b/>
                <w:bCs/>
              </w:rPr>
              <w:t xml:space="preserve">Federal rollup</w:t>
            </w:r>
          </w:p>
        </w:tc>
        <w:tc>
          <w:tcPr/>
          <w:p>
            <w:pPr>
              <w:pStyle w:val="Compact"/>
            </w:pPr>
            <w:r>
              <w:rPr>
                <w:b/>
                <w:bCs/>
              </w:rPr>
              <w:t xml:space="preserve">CISA CDM</w:t>
            </w:r>
            <w:r>
              <w:t xml:space="preserve"> </w:t>
            </w:r>
            <w:r>
              <w:t xml:space="preserve">agency dashboard → federal dashboard</w:t>
            </w:r>
          </w:p>
        </w:tc>
        <w:tc>
          <w:tcPr/>
          <w:p>
            <w:pPr>
              <w:pStyle w:val="Compact"/>
            </w:pPr>
            <w:r>
              <w:t xml:space="preserve">—</w:t>
            </w:r>
          </w:p>
        </w:tc>
        <w:tc>
          <w:tcPr/>
          <w:p>
            <w:pPr>
              <w:pStyle w:val="Compact"/>
            </w:pPr>
            <w:r>
              <w:t xml:space="preserve">The federal coordination substrate; the fabric feeds it</w:t>
            </w:r>
          </w:p>
        </w:tc>
      </w:tr>
      <w:tr>
        <w:tc>
          <w:tcPr/>
          <w:p>
            <w:pPr>
              <w:pStyle w:val="Compact"/>
            </w:pPr>
            <w:r>
              <w:rPr>
                <w:b/>
                <w:bCs/>
              </w:rPr>
              <w:t xml:space="preserve">Attestation</w:t>
            </w:r>
          </w:p>
        </w:tc>
        <w:tc>
          <w:tcPr/>
          <w:p>
            <w:pPr>
              <w:pStyle w:val="Compact"/>
            </w:pPr>
            <w:r>
              <w:t xml:space="preserve">FedRAMP 20x</w:t>
            </w:r>
            <w:r>
              <w:t xml:space="preserve"> </w:t>
            </w:r>
            <w:r>
              <w:rPr>
                <w:b/>
                <w:bCs/>
              </w:rPr>
              <w:t xml:space="preserve">KSI</w:t>
            </w:r>
            <w:r>
              <w:t xml:space="preserve"> </w:t>
            </w:r>
            <w:r>
              <w:t xml:space="preserve">evidence pipeline + OSCAL bundle</w:t>
            </w:r>
          </w:p>
        </w:tc>
        <w:tc>
          <w:tcPr/>
          <w:p>
            <w:pPr>
              <w:pStyle w:val="Compact"/>
            </w:pPr>
            <w:r>
              <w:t xml:space="preserve">—</w:t>
            </w:r>
          </w:p>
        </w:tc>
        <w:tc>
          <w:tcPr/>
          <w:p>
            <w:pPr>
              <w:pStyle w:val="Compact"/>
            </w:pPr>
            <w:r>
              <w:t xml:space="preserve">Consumed by the Authorization Package &amp; ConMon book</w:t>
            </w:r>
          </w:p>
        </w:tc>
      </w:tr>
    </w:tbl>
    <w:p>
      <w:pPr>
        <w:pStyle w:val="BodyText"/>
      </w:pPr>
      <w:r>
        <w:t xml:space="preserve">The doctrine guardrail holds throughout:</w:t>
      </w:r>
      <w:r>
        <w:t xml:space="preserve"> </w:t>
      </w:r>
      <w:r>
        <w:rPr>
          <w:b/>
          <w:bCs/>
        </w:rPr>
        <w:t xml:space="preserve">the fabric mandates the contract,</w:t>
      </w:r>
      <w:r>
        <w:rPr>
          <w:b/>
          <w:bCs/>
        </w:rPr>
        <w:t xml:space="preserve"> </w:t>
      </w:r>
      <w:r>
        <w:rPr>
          <w:b/>
          <w:bCs/>
        </w:rPr>
        <w:t xml:space="preserve">never the vendor.</w:t>
      </w:r>
      <w:r>
        <w:t xml:space="preserve"> </w:t>
      </w:r>
      <w:r>
        <w:t xml:space="preserve">Any lake that ingests the multi-surface record set, any hub</w:t>
      </w:r>
      <w:r>
        <w:t xml:space="preserve"> </w:t>
      </w:r>
      <w:r>
        <w:t xml:space="preserve">that correlates on the authoritative</w:t>
      </w:r>
      <w:r>
        <w:t xml:space="preserve"> </w:t>
      </w:r>
      <w:r>
        <w:rPr>
          <w:rStyle w:val="VerbatimChar"/>
        </w:rPr>
        <w:t xml:space="preserve">asset_id</w:t>
      </w:r>
      <w:r>
        <w:t xml:space="preserve">, and any pipeline that emits the</w:t>
      </w:r>
      <w:r>
        <w:t xml:space="preserve"> </w:t>
      </w:r>
      <w:r>
        <w:t xml:space="preserve">KSI/OSCAL evidence is admissible.</w:t>
      </w:r>
    </w:p>
    <w:bookmarkEnd w:id="228"/>
    <w:bookmarkStart w:id="229" w:name="the-continuous-monitoring-pipeline-ca-7"/>
    <w:p>
      <w:pPr>
        <w:pStyle w:val="Heading1"/>
      </w:pPr>
      <w:r>
        <w:t xml:space="preserve">The Continuous-Monitoring Pipeline (CA-7)</w:t>
      </w:r>
    </w:p>
    <w:p>
      <w:pPr>
        <w:pStyle w:val="FirstParagraph"/>
      </w:pPr>
      <w:r>
        <w:t xml:space="preserve">The fabric</w:t>
      </w:r>
      <w:r>
        <w:t xml:space="preserve"> </w:t>
      </w:r>
      <w:r>
        <w:rPr>
          <w:i/>
          <w:iCs/>
        </w:rPr>
        <w:t xml:space="preserve">is</w:t>
      </w:r>
      <w:r>
        <w:t xml:space="preserve"> </w:t>
      </w:r>
      <w:r>
        <w:t xml:space="preserve">the ConMon evidence pipeline: sources emit on their own cadence</w:t>
      </w:r>
      <w:r>
        <w:t xml:space="preserve"> </w:t>
      </w:r>
      <w:r>
        <w:t xml:space="preserve">→ records normalize to the contract → correlate on asset identity + time →</w:t>
      </w:r>
      <w:r>
        <w:t xml:space="preserve"> </w:t>
      </w:r>
      <w:r>
        <w:t xml:space="preserve">aggregate in the lake → roll up to CDM → attest as KSI/OSCAL.</w:t>
      </w:r>
      <w:r>
        <w:t xml:space="preserve"> </w:t>
      </w:r>
      <w:r>
        <w:rPr>
          <w:b/>
          <w:bCs/>
        </w:rPr>
        <w:t xml:space="preserve">CA-7 continuous</w:t>
      </w:r>
      <w:r>
        <w:rPr>
          <w:b/>
          <w:bCs/>
        </w:rPr>
        <w:t xml:space="preserve"> </w:t>
      </w:r>
      <w:r>
        <w:rPr>
          <w:b/>
          <w:bCs/>
        </w:rPr>
        <w:t xml:space="preserve">monitoring</w:t>
      </w:r>
      <w:r>
        <w:t xml:space="preserve"> </w:t>
      </w:r>
      <w:r>
        <w:t xml:space="preserve">is closed here as the</w:t>
      </w:r>
      <w:r>
        <w:t xml:space="preserve"> </w:t>
      </w:r>
      <w:r>
        <w:rPr>
          <w:i/>
          <w:iCs/>
        </w:rPr>
        <w:t xml:space="preserve">flow</w:t>
      </w:r>
      <w:r>
        <w:t xml:space="preserve">; the SIEM/XDR book adds detection</w:t>
      </w:r>
      <w:r>
        <w:t xml:space="preserve"> </w:t>
      </w:r>
      <w:r>
        <w:t xml:space="preserve">analytics over the lake, and the Authorization Package book freezes a point-in-</w:t>
      </w:r>
      <w:r>
        <w:t xml:space="preserve"> </w:t>
      </w:r>
      <w:r>
        <w:t xml:space="preserve">time OSCAL bundle from it.</w:t>
      </w:r>
      <w:r>
        <w:t xml:space="preserve"> </w:t>
      </w:r>
      <w:r>
        <w:rPr>
          <w:b/>
          <w:bCs/>
        </w:rPr>
        <w:t xml:space="preserve">OMB M-26-14</w:t>
      </w:r>
      <w:r>
        <w:t xml:space="preserve"> </w:t>
      </w:r>
      <w:r>
        <w:t xml:space="preserve">(agency logging and network visibility, which rescinded M-21-31 on 22 May 2026 and replaced its EL0–EL3 tiers with a five-level maturity model scored to the lowest watermark) and</w:t>
      </w:r>
      <w:r>
        <w:t xml:space="preserve"> </w:t>
      </w:r>
      <w:r>
        <w:rPr>
          <w:b/>
          <w:bCs/>
        </w:rPr>
        <w:t xml:space="preserve">NIST</w:t>
      </w:r>
      <w:r>
        <w:rPr>
          <w:b/>
          <w:bCs/>
        </w:rPr>
        <w:t xml:space="preserve"> </w:t>
      </w:r>
      <w:r>
        <w:rPr>
          <w:b/>
          <w:bCs/>
        </w:rPr>
        <w:t xml:space="preserve">SP 800-137 (ISCM)</w:t>
      </w:r>
      <w:r>
        <w:t xml:space="preserve"> </w:t>
      </w:r>
      <w:r>
        <w:t xml:space="preserve">are the driving authorities;</w:t>
      </w:r>
      <w:r>
        <w:t xml:space="preserve"> </w:t>
      </w:r>
      <w:r>
        <w:rPr>
          <w:b/>
          <w:bCs/>
        </w:rPr>
        <w:t xml:space="preserve">AU-6(1)</w:t>
      </w:r>
      <w:r>
        <w:t xml:space="preserve"> </w:t>
      </w:r>
      <w:r>
        <w:t xml:space="preserve">(automated process</w:t>
      </w:r>
      <w:r>
        <w:t xml:space="preserve"> </w:t>
      </w:r>
      <w:r>
        <w:t xml:space="preserve">integration) and</w:t>
      </w:r>
      <w:r>
        <w:t xml:space="preserve"> </w:t>
      </w:r>
      <w:r>
        <w:rPr>
          <w:b/>
          <w:bCs/>
        </w:rPr>
        <w:t xml:space="preserve">SI-4(16)</w:t>
      </w:r>
      <w:r>
        <w:t xml:space="preserve"> </w:t>
      </w:r>
      <w:r>
        <w:t xml:space="preserve">(correlate monitoring information) are closed by</w:t>
      </w:r>
      <w:r>
        <w:t xml:space="preserve"> </w:t>
      </w:r>
      <w:r>
        <w:t xml:space="preserve">the automated aggregation and cross-surface correlation the fabric performs.</w:t>
      </w:r>
    </w:p>
    <w:bookmarkEnd w:id="229"/>
    <w:bookmarkStart w:id="230" w:name="Xc2efa6deeb3b6197f1b46521467e087d4ec2e4e"/>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All rows are telemetry-slot,</w:t>
      </w:r>
      <w:r>
        <w:t xml:space="preserve"> </w:t>
      </w:r>
      <w:r>
        <w:t xml:space="preserve">KSI-MLA, and</w:t>
      </w:r>
      <w:r>
        <w:t xml:space="preserve"> </w:t>
      </w:r>
      <w:r>
        <w:rPr>
          <w:b/>
          <w:bCs/>
        </w:rPr>
        <w:t xml:space="preserve">not</w:t>
      </w:r>
      <w:r>
        <w:t xml:space="preserve"> </w:t>
      </w:r>
      <w:r>
        <w:t xml:space="preserve">attestable by a single-tenant conformance scan — the</w:t>
      </w:r>
      <w:r>
        <w:t xml:space="preserve"> </w:t>
      </w:r>
      <w:r>
        <w:t xml:space="preserve">evidence is the</w:t>
      </w:r>
      <w:r>
        <w:t xml:space="preserve"> </w:t>
      </w:r>
      <w:r>
        <w:rPr>
          <w:i/>
          <w:iCs/>
        </w:rPr>
        <w:t xml:space="preserve">aggregated, correlated</w:t>
      </w:r>
      <w:r>
        <w:t xml:space="preserve"> </w:t>
      </w:r>
      <w:r>
        <w:t xml:space="preserve">record set, which is exactly what a</w:t>
      </w:r>
      <w:r>
        <w:t xml:space="preserve"> </w:t>
      </w:r>
      <w:r>
        <w:t xml:space="preserve">per-tenant tool cannot produce.</w:t>
      </w:r>
    </w:p>
    <w:p>
      <w:pPr>
        <w:pStyle w:val="TableCaption"/>
      </w:pPr>
      <w:r>
        <w:t xml:space="preserve">Authorities Closed Here — Multi-Cloud Evidence Fabric (telemetry → CDM → KSI) († = Closure-Necessity anchor: no alternate closure path)</w:t>
      </w:r>
    </w:p>
    <w:tbl>
      <w:tblPr>
        <w:tblStyle w:val="Table"/>
        <w:tblW w:type="pct" w:w="5000"/>
        <w:tblLayout w:type="fixed"/>
        <w:tblLook w:firstRow="1" w:lastRow="0" w:firstColumn="0" w:lastColumn="0" w:noHBand="0" w:noVBand="0" w:val="0020"/>
        <w:tblCaption w:val="Authorities Closed Here — Multi-Cloud Evidence Fabric (telemetry → CDM → KS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AU-12</w:t>
            </w:r>
          </w:p>
        </w:tc>
        <w:tc>
          <w:tcPr/>
          <w:p>
            <w:pPr>
              <w:pStyle w:val="Compact"/>
            </w:pPr>
            <w:r>
              <w:t xml:space="preserve">Audit Record Generation</w:t>
            </w:r>
          </w:p>
        </w:tc>
        <w:tc>
          <w:tcPr/>
          <w:p>
            <w:pPr>
              <w:pStyle w:val="Compact"/>
            </w:pPr>
            <w:r>
              <w:t xml:space="preserve">Enterprise-wide audit generation spanning every CSP, NEM appliance, and OS agent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AU-12(1) †</w:t>
            </w:r>
          </w:p>
        </w:tc>
        <w:tc>
          <w:tcPr/>
          <w:p>
            <w:pPr>
              <w:pStyle w:val="Compact"/>
            </w:pPr>
            <w:r>
              <w:t xml:space="preserve">System-wide and Time-correlated Audit Trail</w:t>
            </w:r>
          </w:p>
        </w:tc>
        <w:tc>
          <w:tcPr/>
          <w:p>
            <w:pPr>
              <w:pStyle w:val="Compact"/>
            </w:pPr>
            <w:r>
              <w:t xml:space="preserve">Cross-surface correlation keyed to authoritative asset identity (IPAM/DDI) + time — the join that makes one compliance picture</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AU-3 †</w:t>
            </w:r>
          </w:p>
        </w:tc>
        <w:tc>
          <w:tcPr/>
          <w:p>
            <w:pPr>
              <w:pStyle w:val="Compact"/>
            </w:pPr>
            <w:r>
              <w:t xml:space="preserve">Content of Audit Records</w:t>
            </w:r>
          </w:p>
        </w:tc>
        <w:tc>
          <w:tcPr/>
          <w:p>
            <w:pPr>
              <w:pStyle w:val="Compact"/>
            </w:pPr>
            <w:r>
              <w:t xml:space="preserve">Unified machine-readable evidence-record contract every native stack emits (the coordination mechanism)</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 analysis across CSP/NEM/OS sources into one lake (Sentinel default; Splunk alternative)</w:t>
            </w:r>
          </w:p>
        </w:tc>
        <w:tc>
          <w:tcPr/>
          <w:p>
            <w:pPr>
              <w:pStyle w:val="Compact"/>
            </w:pPr>
            <w:r>
              <w:t xml:space="preserve">FedRAMP Moderate</w:t>
            </w:r>
          </w:p>
        </w:tc>
        <w:tc>
          <w:tcPr/>
          <w:p>
            <w:pPr>
              <w:pStyle w:val="Compact"/>
            </w:pPr>
            <w:r>
              <w:t xml:space="preserve">NIST SP 800-53 Rev 5; NIST SP 800-137</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The telemetry→evidence→CDM→KSI pipeline; ServiceNow coordinates workflow, CMDB reconciled to IPAM/DDI</w:t>
            </w:r>
          </w:p>
        </w:tc>
        <w:tc>
          <w:tcPr/>
          <w:p>
            <w:pPr>
              <w:pStyle w:val="Compact"/>
            </w:pPr>
            <w:r>
              <w:t xml:space="preserve">FedRAMP Moderate</w:t>
            </w:r>
          </w:p>
        </w:tc>
        <w:tc>
          <w:tcPr/>
          <w:p>
            <w:pPr>
              <w:pStyle w:val="Compact"/>
            </w:pPr>
            <w:r>
              <w:t xml:space="preserve">NIST SP 800-53 Rev 5; NIST SP 800-137; CISA CDM;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SI-4(16)</w:t>
            </w:r>
          </w:p>
        </w:tc>
        <w:tc>
          <w:tcPr/>
          <w:p>
            <w:pPr>
              <w:pStyle w:val="Compact"/>
            </w:pPr>
            <w:r>
              <w:t xml:space="preserve">Correlate Monitoring Information</w:t>
            </w:r>
          </w:p>
        </w:tc>
        <w:tc>
          <w:tcPr/>
          <w:p>
            <w:pPr>
              <w:pStyle w:val="Compact"/>
            </w:pPr>
            <w:r>
              <w:t xml:space="preserve">Correlation of monitoring data across vendor/surface boundaries in the unified fabric</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230"/>
    <w:bookmarkStart w:id="232" w:name="fedramp-20x-ksi-alignment-3"/>
    <w:p>
      <w:pPr>
        <w:pStyle w:val="Heading1"/>
      </w:pPr>
      <w:r>
        <w:t xml:space="preserve">FedRAMP 20x KSI Alignment</w:t>
      </w:r>
    </w:p>
    <w:p>
      <w:pPr>
        <w:pStyle w:val="FirstParagraph"/>
      </w:pPr>
      <w:r>
        <w:t xml:space="preserve">The fabric is the primary</w:t>
      </w:r>
      <w:r>
        <w:t xml:space="preserve"> </w:t>
      </w:r>
      <w:r>
        <w:rPr>
          <w:b/>
          <w:bCs/>
        </w:rPr>
        <w:t xml:space="preserve">KSI-MLA</w:t>
      </w:r>
      <w:r>
        <w:t xml:space="preserve"> </w:t>
      </w:r>
      <w:r>
        <w:t xml:space="preserve">(Monitoring, Logging, and Auditing) evidence</w:t>
      </w:r>
      <w:r>
        <w:t xml:space="preserve"> </w:t>
      </w:r>
      <w:r>
        <w:t xml:space="preserve">source for the whole series: every book that emits a compliance record —</w:t>
      </w:r>
      <w:r>
        <w:t xml:space="preserve"> </w:t>
      </w:r>
      <w:r>
        <w:t xml:space="preserve">identity, patch, network enforcement, posture, data — delivers it</w:t>
      </w:r>
      <w:r>
        <w:t xml:space="preserve"> </w:t>
      </w:r>
      <w:r>
        <w:rPr>
          <w:i/>
          <w:iCs/>
        </w:rPr>
        <w:t xml:space="preserve">through</w:t>
      </w:r>
      <w:r>
        <w:t xml:space="preserve"> </w:t>
      </w:r>
      <w:r>
        <w:t xml:space="preserve">this</w:t>
      </w:r>
      <w:r>
        <w:t xml:space="preserve"> </w:t>
      </w:r>
      <w:r>
        <w:t xml:space="preserve">fabric, where it is normalized, correlated, and rolled up. The fabric does not</w:t>
      </w:r>
      <w:r>
        <w:t xml:space="preserve"> </w:t>
      </w:r>
      <w:r>
        <w:t xml:space="preserve">compete with the SIEM/XDR book for KSI-MLA; it is the substrate that book’s</w:t>
      </w:r>
      <w:r>
        <w:t xml:space="preserve"> </w:t>
      </w:r>
      <w:r>
        <w:t xml:space="preserve">analytics run on. Because the evidence is the aggregated, correlated record set</w:t>
      </w:r>
      <w:r>
        <w:t xml:space="preserve"> </w:t>
      </w:r>
      <w:r>
        <w:t xml:space="preserve">(not a single-tenant configuration snapshot), none of these controls is</w:t>
      </w:r>
      <w:r>
        <w:t xml:space="preserve"> </w:t>
      </w:r>
      <w:r>
        <w:t xml:space="preserve">attestable by a conformance tool alone — the</w:t>
      </w:r>
      <w:r>
        <w:t xml:space="preserve"> </w:t>
      </w:r>
      <w:r>
        <w:rPr>
          <w:i/>
          <w:iCs/>
        </w:rPr>
        <w:t xml:space="preserve">Tool-attestable?</w:t>
      </w:r>
      <w:r>
        <w:t xml:space="preserve"> </w:t>
      </w:r>
      <w:r>
        <w:t xml:space="preserve">column is</w:t>
      </w:r>
      <w:r>
        <w:t xml:space="preserve"> </w:t>
      </w:r>
      <w:r>
        <w:t xml:space="preserve">uniformly</w:t>
      </w:r>
      <w:r>
        <w:t xml:space="preserve"> </w:t>
      </w:r>
      <w:r>
        <w:rPr>
          <w:b/>
          <w:bCs/>
        </w:rPr>
        <w:t xml:space="preserve">No</w:t>
      </w:r>
      <w:r>
        <w:t xml:space="preserve">, and the coordination doctrine’s contract is what makes them</w:t>
      </w:r>
      <w:r>
        <w:t xml:space="preserve"> </w:t>
      </w:r>
      <w:r>
        <w:t xml:space="preserve">evaluable.</w:t>
      </w:r>
    </w:p>
    <w:bookmarkStart w:id="231" w:name="realization-selection-status"/>
    <w:p>
      <w:pPr>
        <w:pStyle w:val="Heading2"/>
      </w:pPr>
      <w:r>
        <w:t xml:space="preserve">Realization Selection Status</w:t>
      </w:r>
    </w:p>
    <w:p>
      <w:pPr>
        <w:pStyle w:val="FirstParagraph"/>
      </w:pPr>
      <w:r>
        <w:t xml:space="preserve">The agency owns both SIEM platforms: Sentinel and Splunk Cloud Platform run as</w:t>
      </w:r>
      <w:r>
        <w:t xml:space="preserve"> </w:t>
      </w:r>
      <w:r>
        <w:t xml:space="preserve">dual-SIEM redundancy, not a default/alternative choice pending procurement.</w:t>
      </w:r>
      <w:r>
        <w:t xml:space="preserve"> </w:t>
      </w:r>
      <w:r>
        <w:t xml:space="preserve">Sentinel is the primary aggregation lake on the Microsoft-preference rule</w:t>
      </w:r>
      <w:r>
        <w:t xml:space="preserve"> </w:t>
      </w:r>
      <w:r>
        <w:t xml:space="preserve">(earned by genuine multi-cloud/NEM ingestion at FedRAMP Moderate); Splunk runs</w:t>
      </w:r>
      <w:r>
        <w:t xml:space="preserve"> </w:t>
      </w:r>
      <w:r>
        <w:t xml:space="preserve">the same evidence contract in parallel. ServiceNow (FedRAMP-authorized, also</w:t>
      </w:r>
      <w:r>
        <w:t xml:space="preserve"> </w:t>
      </w:r>
      <w:r>
        <w:t xml:space="preserve">owned) is the workflow/CMDB coordination hub, with its CMDB reconciled to the</w:t>
      </w:r>
      <w:r>
        <w:t xml:space="preserve"> </w:t>
      </w:r>
      <w:r>
        <w:t xml:space="preserve">authoritative IPAM/DDI identity. Verify all authorizations on the FedRAMP</w:t>
      </w:r>
      <w:r>
        <w:t xml:space="preserve"> </w:t>
      </w:r>
      <w:r>
        <w:t xml:space="preserve">Marketplace at procurement.</w:t>
      </w:r>
    </w:p>
    <w:bookmarkEnd w:id="231"/>
    <w:bookmarkEnd w:id="232"/>
    <w:bookmarkStart w:id="238" w:name="references-2"/>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AU-3, AU-6(1), AU-12, AU-12(1), CA-7, SI-4(16)</w:t>
            </w:r>
          </w:p>
        </w:tc>
      </w:tr>
      <w:tr>
        <w:tc>
          <w:tcPr/>
          <w:p>
            <w:pPr>
              <w:pStyle w:val="Compact"/>
            </w:pPr>
            <w:r>
              <w:t xml:space="preserve">NIST SP 800-137</w:t>
            </w:r>
          </w:p>
        </w:tc>
        <w:tc>
          <w:tcPr/>
          <w:p>
            <w:pPr>
              <w:pStyle w:val="Compact"/>
            </w:pPr>
            <w:r>
              <w:t xml:space="preserve">Information Security Continuous Monitoring (ISCM)</w:t>
            </w:r>
          </w:p>
        </w:tc>
      </w:tr>
      <w:tr>
        <w:tc>
          <w:tcPr/>
          <w:p>
            <w:pPr>
              <w:pStyle w:val="Compact"/>
            </w:pPr>
            <w:r>
              <w:t xml:space="preserve">OMB M-26-14</w:t>
            </w:r>
          </w:p>
        </w:tc>
        <w:tc>
          <w:tcPr/>
          <w:p>
            <w:pPr>
              <w:pStyle w:val="Compact"/>
            </w:pPr>
            <w:r>
              <w:t xml:space="preserve">Ensuring Effective and Efficient Agency Logging and Network Visibility (22 May 2026; rescinds M-21-31,</w:t>
            </w:r>
            <w:r>
              <w:t xml:space="preserve"> </w:t>
            </w:r>
            <w:r>
              <w:rPr>
                <w:i/>
                <w:iCs/>
              </w:rPr>
              <w:t xml:space="preserve">Improving the Federal Government’s Investigative and Remediation Capabilities</w:t>
            </w:r>
            <w:r>
              <w:t xml:space="preserve">) (event-logging maturity) —</w:t>
            </w:r>
            <w:r>
              <w:t xml:space="preserve"> </w:t>
            </w:r>
            <w:hyperlink r:id="rId233">
              <w:r>
                <w:rPr>
                  <w:rStyle w:val="Hyperlink"/>
                </w:rPr>
                <w:t xml:space="preserve">https://www.whitehouse.gov/wp-content/uploads/2021/08/M-21-31-Improving-the-Federal-Governments-Investigative-and-Remediation-Capabilities-Related-to-Cybersecurity-Incidents.pdf</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103">
              <w:r>
                <w:rPr>
                  <w:rStyle w:val="Hyperlink"/>
                </w:rPr>
                <w:t xml:space="preserve">https://www.cisa.gov/cdm</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102">
              <w:r>
                <w:rPr>
                  <w:rStyle w:val="Hyperlink"/>
                </w:rPr>
                <w:t xml:space="preserve">https://www.cisa.gov/news-events/directives/bod-23-01-improving-asset-visibility-and-vulnerability-detection-federal-networks</w:t>
              </w:r>
            </w:hyperlink>
          </w:p>
        </w:tc>
      </w:tr>
      <w:tr>
        <w:tc>
          <w:tcPr/>
          <w:p>
            <w:pPr>
              <w:pStyle w:val="Compact"/>
            </w:pPr>
            <w:r>
              <w:t xml:space="preserve">Microsoft Sentinel (multi-cloud data connectors)</w:t>
            </w:r>
          </w:p>
        </w:tc>
        <w:tc>
          <w:tcPr/>
          <w:p>
            <w:pPr>
              <w:pStyle w:val="Compact"/>
            </w:pPr>
            <w:hyperlink r:id="rId234">
              <w:r>
                <w:rPr>
                  <w:rStyle w:val="Hyperlink"/>
                </w:rPr>
                <w:t xml:space="preserve">https://learn.microsoft.com/azure/sentinel/connect-data-sources</w:t>
              </w:r>
            </w:hyperlink>
          </w:p>
        </w:tc>
      </w:tr>
      <w:tr>
        <w:tc>
          <w:tcPr/>
          <w:p>
            <w:pPr>
              <w:pStyle w:val="Compact"/>
            </w:pPr>
            <w:r>
              <w:t xml:space="preserve">Splunk Cloud Platform (FedRAMP Moderate)</w:t>
            </w:r>
          </w:p>
        </w:tc>
        <w:tc>
          <w:tcPr/>
          <w:p>
            <w:pPr>
              <w:pStyle w:val="Compact"/>
            </w:pPr>
            <w:hyperlink r:id="rId235">
              <w:r>
                <w:rPr>
                  <w:rStyle w:val="Hyperlink"/>
                </w:rPr>
                <w:t xml:space="preserve">https://www.fedramp.gov/marketplace/products/F1607197917/</w:t>
              </w:r>
            </w:hyperlink>
          </w:p>
        </w:tc>
      </w:tr>
      <w:tr>
        <w:tc>
          <w:tcPr/>
          <w:p>
            <w:pPr>
              <w:pStyle w:val="Compact"/>
            </w:pPr>
            <w:r>
              <w:t xml:space="preserve">ServiceNow (FedRAMP-authorized; ITOM/CMDB/SecOps)</w:t>
            </w:r>
          </w:p>
        </w:tc>
        <w:tc>
          <w:tcPr/>
          <w:p>
            <w:pPr>
              <w:pStyle w:val="Compact"/>
            </w:pPr>
            <w:hyperlink r:id="rId236">
              <w:r>
                <w:rPr>
                  <w:rStyle w:val="Hyperlink"/>
                </w:rPr>
                <w:t xml:space="preserve">https://www.fedramp.gov/marketplace/products/F1305072116/</w:t>
              </w:r>
            </w:hyperlink>
          </w:p>
        </w:tc>
      </w:tr>
      <w:tr>
        <w:tc>
          <w:tcPr/>
          <w:p>
            <w:pPr>
              <w:pStyle w:val="Compact"/>
            </w:pPr>
            <w:r>
              <w:t xml:space="preserve">NIST OSCAL</w:t>
            </w:r>
          </w:p>
        </w:tc>
        <w:tc>
          <w:tcPr/>
          <w:p>
            <w:pPr>
              <w:pStyle w:val="Compact"/>
            </w:pPr>
            <w:r>
              <w:t xml:space="preserve">Open Security Controls Assessment Language —</w:t>
            </w:r>
            <w:r>
              <w:t xml:space="preserve"> </w:t>
            </w:r>
            <w:hyperlink r:id="rId237">
              <w:r>
                <w:rPr>
                  <w:rStyle w:val="Hyperlink"/>
                </w:rPr>
                <w:t xml:space="preserve">https://pages.nist.gov/OSCAL/</w:t>
              </w:r>
            </w:hyperlink>
          </w:p>
        </w:tc>
      </w:tr>
    </w:tbl>
    <w:bookmarkEnd w:id="2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9" Target="https://aws.amazon.com/about-aws/whats-new/2021/04/aws-security-hub-achieves-fedramp-high-authorization-to-enable-security-posture-management-for-high-impact-workloads/" TargetMode="External" /><Relationship Type="http://schemas.openxmlformats.org/officeDocument/2006/relationships/hyperlink" Id="rId130" Target="https://cloud.google.com/assured-workloads" TargetMode="External" /><Relationship Type="http://schemas.openxmlformats.org/officeDocument/2006/relationships/hyperlink" Id="rId131" Target="https://cloud.google.com/security-command-center" TargetMode="External" /><Relationship Type="http://schemas.openxmlformats.org/officeDocument/2006/relationships/hyperlink" Id="rId128" Target="https://docs.aws.amazon.com/config/latest/developerguide/operational-best-practices-for-nist-800-53_rev_5.html" TargetMode="External" /><Relationship Type="http://schemas.openxmlformats.org/officeDocument/2006/relationships/hyperlink" Id="rId108" Target="https://docs.aws.amazon.com/inspector/latest/user/what-is-inspector.html" TargetMode="External" /><Relationship Type="http://schemas.openxmlformats.org/officeDocument/2006/relationships/hyperlink" Id="rId107" Target="https://docs.aws.amazon.com/systems-manager/latest/userguide/systems-manager-patch.html" TargetMode="External" /><Relationship Type="http://schemas.openxmlformats.org/officeDocument/2006/relationships/hyperlink" Id="rId112" Target="https://docs.omnissa.com/" TargetMode="External" /><Relationship Type="http://schemas.openxmlformats.org/officeDocument/2006/relationships/hyperlink" Id="rId110" Target="https://docs.oracle.com/en-us/iaas/oracle-linux/ksplice/index.htm" TargetMode="External" /><Relationship Type="http://schemas.openxmlformats.org/officeDocument/2006/relationships/hyperlink" Id="rId109" Target="https://docs.oracle.com/en-us/iaas/osmh/doc/home.htm" TargetMode="External" /><Relationship Type="http://schemas.openxmlformats.org/officeDocument/2006/relationships/hyperlink" Id="rId114" Target="https://docs.redhat.com/en/documentation/red_hat_ansible_automation_platform" TargetMode="External" /><Relationship Type="http://schemas.openxmlformats.org/officeDocument/2006/relationships/hyperlink" Id="rId113" Target="https://docs.redhat.com/en/documentation/red_hat_satellite" TargetMode="External" /><Relationship Type="http://schemas.openxmlformats.org/officeDocument/2006/relationships/hyperlink" Id="rId111" Target="https://docs.vmware.com/en/VMware-vSphere/" TargetMode="External" /><Relationship Type="http://schemas.openxmlformats.org/officeDocument/2006/relationships/hyperlink" Id="rId127" Target="https://learn.microsoft.com/azure/defender-for-cloud/" TargetMode="External" /><Relationship Type="http://schemas.openxmlformats.org/officeDocument/2006/relationships/hyperlink" Id="rId234" Target="https://learn.microsoft.com/azure/sentinel/connect-data-sources" TargetMode="External" /><Relationship Type="http://schemas.openxmlformats.org/officeDocument/2006/relationships/hyperlink" Id="rId105" Target="https://learn.microsoft.com/azure/update-manager/" TargetMode="External" /><Relationship Type="http://schemas.openxmlformats.org/officeDocument/2006/relationships/hyperlink" Id="rId106" Target="https://learn.microsoft.com/mem/intune/" TargetMode="External" /><Relationship Type="http://schemas.openxmlformats.org/officeDocument/2006/relationships/hyperlink" Id="rId104" Target="https://marketplace.fedramp.gov/" TargetMode="External" /><Relationship Type="http://schemas.openxmlformats.org/officeDocument/2006/relationships/hyperlink" Id="rId237" Target="https://pages.nist.gov/OSCAL/" TargetMode="External" /><Relationship Type="http://schemas.openxmlformats.org/officeDocument/2006/relationships/hyperlink" Id="rId132" Target="https://techdocs.broadcom.com/us/en/vmware-cis/vcf/stig/9-0/vcf-stig-documentation/docs-tutorials-Aria-aria.html" TargetMode="External" /><Relationship Type="http://schemas.openxmlformats.org/officeDocument/2006/relationships/hyperlink" Id="rId103" Target="https://www.cisa.gov/cdm" TargetMode="External" /><Relationship Type="http://schemas.openxmlformats.org/officeDocument/2006/relationships/hyperlink" Id="rId101" Target="https://www.cisa.gov/known-exploited-vulnerabilities-catalog" TargetMode="External" /><Relationship Type="http://schemas.openxmlformats.org/officeDocument/2006/relationships/hyperlink" Id="rId102" Target="https://www.cisa.gov/news-events/directives/bod-23-01-improving-asset-visibility-and-vulnerability-detection-federal-networks" TargetMode="External" /><Relationship Type="http://schemas.openxmlformats.org/officeDocument/2006/relationships/hyperlink" Id="rId126" Target="https://www.cisa.gov/scuba" TargetMode="External" /><Relationship Type="http://schemas.openxmlformats.org/officeDocument/2006/relationships/hyperlink" Id="rId236" Target="https://www.fedramp.gov/marketplace/products/F1305072116/" TargetMode="External" /><Relationship Type="http://schemas.openxmlformats.org/officeDocument/2006/relationships/hyperlink" Id="rId235" Target="https://www.fedramp.gov/marketplace/products/F1607197917/" TargetMode="External" /><Relationship Type="http://schemas.openxmlformats.org/officeDocument/2006/relationships/hyperlink" Id="rId133" Target="https://www.oracle.com/security/cloud-security/cloud-guard/" TargetMode="External" /><Relationship Type="http://schemas.openxmlformats.org/officeDocument/2006/relationships/hyperlink" Id="rId134" Target="https://www.paloaltonetworks.com/blog/prisma-cloud/fedramp-high-impact-ready/" TargetMode="External" /><Relationship Type="http://schemas.openxmlformats.org/officeDocument/2006/relationships/hyperlink" Id="rId233" Target="https://www.whitehouse.gov/wp-content/uploads/2021/08/M-21-31-Improving-the-Federal-Governments-Investigative-and-Remediation-Capabilities-Related-to-Cybersecurity-Incidents.pdf" TargetMode="External" /><Relationship Type="http://schemas.openxmlformats.org/officeDocument/2006/relationships/hyperlink" Id="rId135" Target="https://www.wiz.io/blog/wiz-achieves-fedramp-high-authorization" TargetMode="External" /></Relationships>
</file>

<file path=word/_rels/footnotes.xml.rels><?xml version="1.0" encoding="UTF-8"?><Relationships xmlns="http://schemas.openxmlformats.org/package/2006/relationships"><Relationship Type="http://schemas.openxmlformats.org/officeDocument/2006/relationships/hyperlink" Id="rId129" Target="https://aws.amazon.com/about-aws/whats-new/2021/04/aws-security-hub-achieves-fedramp-high-authorization-to-enable-security-posture-management-for-high-impact-workloads/" TargetMode="External" /><Relationship Type="http://schemas.openxmlformats.org/officeDocument/2006/relationships/hyperlink" Id="rId130" Target="https://cloud.google.com/assured-workloads" TargetMode="External" /><Relationship Type="http://schemas.openxmlformats.org/officeDocument/2006/relationships/hyperlink" Id="rId131" Target="https://cloud.google.com/security-command-center" TargetMode="External" /><Relationship Type="http://schemas.openxmlformats.org/officeDocument/2006/relationships/hyperlink" Id="rId128" Target="https://docs.aws.amazon.com/config/latest/developerguide/operational-best-practices-for-nist-800-53_rev_5.html" TargetMode="External" /><Relationship Type="http://schemas.openxmlformats.org/officeDocument/2006/relationships/hyperlink" Id="rId108" Target="https://docs.aws.amazon.com/inspector/latest/user/what-is-inspector.html" TargetMode="External" /><Relationship Type="http://schemas.openxmlformats.org/officeDocument/2006/relationships/hyperlink" Id="rId107" Target="https://docs.aws.amazon.com/systems-manager/latest/userguide/systems-manager-patch.html" TargetMode="External" /><Relationship Type="http://schemas.openxmlformats.org/officeDocument/2006/relationships/hyperlink" Id="rId112" Target="https://docs.omnissa.com/" TargetMode="External" /><Relationship Type="http://schemas.openxmlformats.org/officeDocument/2006/relationships/hyperlink" Id="rId110" Target="https://docs.oracle.com/en-us/iaas/oracle-linux/ksplice/index.htm" TargetMode="External" /><Relationship Type="http://schemas.openxmlformats.org/officeDocument/2006/relationships/hyperlink" Id="rId109" Target="https://docs.oracle.com/en-us/iaas/osmh/doc/home.htm" TargetMode="External" /><Relationship Type="http://schemas.openxmlformats.org/officeDocument/2006/relationships/hyperlink" Id="rId114" Target="https://docs.redhat.com/en/documentation/red_hat_ansible_automation_platform" TargetMode="External" /><Relationship Type="http://schemas.openxmlformats.org/officeDocument/2006/relationships/hyperlink" Id="rId113" Target="https://docs.redhat.com/en/documentation/red_hat_satellite" TargetMode="External" /><Relationship Type="http://schemas.openxmlformats.org/officeDocument/2006/relationships/hyperlink" Id="rId111" Target="https://docs.vmware.com/en/VMware-vSphere/" TargetMode="External" /><Relationship Type="http://schemas.openxmlformats.org/officeDocument/2006/relationships/hyperlink" Id="rId127" Target="https://learn.microsoft.com/azure/defender-for-cloud/" TargetMode="External" /><Relationship Type="http://schemas.openxmlformats.org/officeDocument/2006/relationships/hyperlink" Id="rId234" Target="https://learn.microsoft.com/azure/sentinel/connect-data-sources" TargetMode="External" /><Relationship Type="http://schemas.openxmlformats.org/officeDocument/2006/relationships/hyperlink" Id="rId105" Target="https://learn.microsoft.com/azure/update-manager/" TargetMode="External" /><Relationship Type="http://schemas.openxmlformats.org/officeDocument/2006/relationships/hyperlink" Id="rId106" Target="https://learn.microsoft.com/mem/intune/" TargetMode="External" /><Relationship Type="http://schemas.openxmlformats.org/officeDocument/2006/relationships/hyperlink" Id="rId104" Target="https://marketplace.fedramp.gov/" TargetMode="External" /><Relationship Type="http://schemas.openxmlformats.org/officeDocument/2006/relationships/hyperlink" Id="rId237" Target="https://pages.nist.gov/OSCAL/" TargetMode="External" /><Relationship Type="http://schemas.openxmlformats.org/officeDocument/2006/relationships/hyperlink" Id="rId132" Target="https://techdocs.broadcom.com/us/en/vmware-cis/vcf/stig/9-0/vcf-stig-documentation/docs-tutorials-Aria-aria.html" TargetMode="External" /><Relationship Type="http://schemas.openxmlformats.org/officeDocument/2006/relationships/hyperlink" Id="rId103" Target="https://www.cisa.gov/cdm" TargetMode="External" /><Relationship Type="http://schemas.openxmlformats.org/officeDocument/2006/relationships/hyperlink" Id="rId101" Target="https://www.cisa.gov/known-exploited-vulnerabilities-catalog" TargetMode="External" /><Relationship Type="http://schemas.openxmlformats.org/officeDocument/2006/relationships/hyperlink" Id="rId102" Target="https://www.cisa.gov/news-events/directives/bod-23-01-improving-asset-visibility-and-vulnerability-detection-federal-networks" TargetMode="External" /><Relationship Type="http://schemas.openxmlformats.org/officeDocument/2006/relationships/hyperlink" Id="rId126" Target="https://www.cisa.gov/scuba" TargetMode="External" /><Relationship Type="http://schemas.openxmlformats.org/officeDocument/2006/relationships/hyperlink" Id="rId236" Target="https://www.fedramp.gov/marketplace/products/F1305072116/" TargetMode="External" /><Relationship Type="http://schemas.openxmlformats.org/officeDocument/2006/relationships/hyperlink" Id="rId235" Target="https://www.fedramp.gov/marketplace/products/F1607197917/" TargetMode="External" /><Relationship Type="http://schemas.openxmlformats.org/officeDocument/2006/relationships/hyperlink" Id="rId133" Target="https://www.oracle.com/security/cloud-security/cloud-guard/" TargetMode="External" /><Relationship Type="http://schemas.openxmlformats.org/officeDocument/2006/relationships/hyperlink" Id="rId134" Target="https://www.paloaltonetworks.com/blog/prisma-cloud/fedramp-high-impact-ready/" TargetMode="External" /><Relationship Type="http://schemas.openxmlformats.org/officeDocument/2006/relationships/hyperlink" Id="rId233" Target="https://www.whitehouse.gov/wp-content/uploads/2021/08/M-21-31-Improving-the-Federal-Governments-Investigative-and-Remediation-Capabilities-Related-to-Cybersecurity-Incidents.pdf" TargetMode="External" /><Relationship Type="http://schemas.openxmlformats.org/officeDocument/2006/relationships/hyperlink" Id="rId135" Target="https://www.wiz.io/blog/wiz-achieves-fedramp-high-authoriz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III — Security Operations</dc:title>
  <dc:creator/>
  <cp:keywords/>
  <dcterms:created xsi:type="dcterms:W3CDTF">2026-10-19T10:17:41Z</dcterms:created>
  <dcterms:modified xsi:type="dcterms:W3CDTF">2026-10-19T10:17:41Z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